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ATA/376/2013 vom 18. Juni 2013</w:t>
      </w:r>
    </w:p>
    <w:p>
      <w:r>
        <w:t>GE Cour de justice, 2013-06-18, FR</w:t>
      </w:r>
    </w:p>
    <w:p>
      <w:r>
        <w:rPr>
          <w:b/>
        </w:rPr>
        <w:t xml:space="preserve">Quelle: </w:t>
      </w:r>
      <w:r>
        <w:t>https://mcp.opencaselaw.ch/entscheid/ge_gerichte_ATA_376_2013</w:t>
      </w:r>
    </w:p>
    <w:p>
      <w:r>
        <w:t>FR: GE_GERICHTE ATA/376/2013 du 18 juin 2013</w:t>
      </w:r>
    </w:p>
    <w:p>
      <w:r>
        <w:t>IT: GE_GERICHTE ATA/376/2013 del 18 giugno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C’est par le courrier du Dr V______, adressé le 3 avril 2013 au juge délégué, que ce dernier a eu connaissance du fait que ce praticien avait, dès réception de la décision querellée, informé Mme H______ du diagnostic relatif à son mari, comme il avait été autorisé à le faire, la décision prise le 28 février 2013 par la commission ayant été déclarée exécutoire nonobstant recours.</w:t>
      </w:r>
    </w:p>
    <w:p>
      <w:r>
        <w:t>- 7/11 - A/881/2013</w:t>
      </w:r>
    </w:p>
    <w:p>
      <w:r>
        <w:t>La demande de restitution de l’effet suspensif est dès lors devenue sans objet.</w:t>
      </w:r>
    </w:p>
    <w:p>
      <w:r>
        <w:rPr>
          <w:b/>
        </w:rPr>
        <w:t>E. 3</w:t>
      </w:r>
    </w:p>
    <w:p>
      <w:r>
        <w:t>Comme l’exige l’art. 60 al. 1 let. b LPA, il convient d’examiner si M. H______ conserve un intérêt actuel, digne de protection, à ce que la décision prise le 28 février 2013 par la commission soit annulée.</w:t>
      </w:r>
    </w:p>
    <w:p>
      <w:r>
        <w:t>Selon la jurisprudence du Tribunal fédéral, un intérêt digne de protection suppose un intérêt actuel à obtenir l’annulation de la décision attaquée (ATF 138 II 42 consid. 1 p. 44 ; 137 I 23 p. 24-25 consid 1.3 ; 135 I 79 consid. 1 p. 82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ATA/192/2009 du 21 avril 2009) ; s’il s’éteint pendant la procédure, le recours, devenu sans objet, doit être simplement radié du rôle (ATF 125 V 373 consid. 1 p. 374 ; ATA/195/2007 du 24 avril 2007).</w:t>
      </w:r>
    </w:p>
    <w:p>
      <w:r>
        <w:t>La condition de l’intérêt actuel fait défaut en particulier lorsque, comme en l'espèce, la décision attaquée a été exécutée et a sorti tous ses effets (ATF 125 I 394 consid. 4 pp. 396, 398 ; 120 Ia 165 consid. 1a p. 166 ; ATA/328/2009 du 30 juin 2009 ; ATA/192/2009 du 21 avril 2009).</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Le Tribunal fédéral fait ainsi exceptionnellement abstraction de l’exigence d’un intérêt actuel, lorsque notamment, en raison de sa portée de principe, il existe un intérêt public suffisamment important à la solution de la question litigieuse (ATF 136 II 101 consid. 1.1 p. 103 ; 135 I 79 consid. 1 p. 82 ; ATA/224/2012 du 17 avril 2012).</w:t>
      </w:r>
    </w:p>
    <w:p>
      <w:r>
        <w:t>Ces conditions sont réunies en l'espèce, car la question soulevée est susceptible de se reproduire, non pour M. H______, mais pour un tiers, et elle revêt dès lors un intérêt public suffisamment important pour qu'elle soit tranchée, de sorte que le recours sera déclaré recevable.</w:t>
      </w:r>
    </w:p>
    <w:p>
      <w:r>
        <w:rPr>
          <w:b/>
        </w:rPr>
        <w:t>E. 4</w:t>
      </w:r>
    </w:p>
    <w:p>
      <w:r>
        <w:t>Le recourant allègue une violation de son droit d'être entendu par la commission.</w:t>
      </w:r>
    </w:p>
    <w:p>
      <w:r>
        <w:t>- 8/11 - A/881/2013</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 G. MALINVERNI /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5A_150/2010 du 20 mai 2010 consid. 4.3 ; ATA/276/2012 du 8 mai 2012 consid. 2 et les arrêts cités).</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w:t>
      </w:r>
    </w:p>
    <w:p>
      <w:r>
        <w:rPr>
          <w:b/>
        </w:rPr>
        <w:t>E. 5</w:t>
      </w:r>
    </w:p>
    <w:p>
      <w:r>
        <w:t>La commission du secret professionnel, en qualité d'autorité administrative au sens de l'art. 5 let. g LPA, est appelée à rendre des décisions selon l'art. 4 LPA et doit appliquer la LPA.</w:t>
      </w:r>
    </w:p>
    <w:p>
      <w:r>
        <w:t>- 9/11 - A/881/2013</w:t>
      </w:r>
    </w:p>
    <w:p>
      <w:r>
        <w:t>Or, la commission a convoqué pour le 7 février 2013 le Dr V______ et M. H______, son patient. Le Dr V______ n'étant pas disponible le jour en question, elle a entendu M. H______ seul, sans spécifier en quelle qualité. Lorsqu'elle a reconvoqué le Dr V______ pour le 28 février 2013, elle a entendu ce dernier seul également, sans prier M. H______ de se présenter ce jour-ci pour lui permettre d'assister à l'audition de son médecin, comme il en avait le droit.</w:t>
      </w:r>
    </w:p>
    <w:p>
      <w:r>
        <w:t>Tous deux étaient en effet parties à la procédure, au sens de l'art. 7 LPA, ce qui leur conférait le droit de participer à l'administration des preuves en application de l'art. 42 LPA et de consulter le dossier selon l'art. 44 LPA.</w:t>
      </w:r>
    </w:p>
    <w:p>
      <w:r>
        <w:t>Après l'audition du Dr V______ le 28 février 2013, la commission devait, à tout le moins, pour respecter le droit d'être entendu de M. H______ consacré par l'art. 41 LPA, envoyer à ce dernier le procès-verbal de l'audition de son médecin et lui octroyer un délai pour s'exprimer à ce sujet. Au lieu de cela, elle a statué le même jour, en rendant une décision exécutoire nonobstant recours au seul motif qu'il était urgent que Mme H______ et les enfants du couple soient informés sans tarder du diagnostic en question pour prendre les mesures nécessaires destinées à protéger leur santé. Elle s'est bornée à indiquer de manière laconique que cet intérêt-ci l'emportait sur la protection de la sphère privée de M. H______, sans mentionner d'aucune manière les raisons de l'opposition de celui-ci liées à des relations conjugales conflictuelles et à une procédure pendante qui risquait de conduire à l'attribution de la garde sur les enfants du couple à Mme H______ plutôt qu'à lui-même, si la révélation de ce diagnostic était faite sans discernement.</w:t>
      </w:r>
    </w:p>
    <w:p>
      <w:r>
        <w:t>La commission a ainsi commis plusieurs violations crasses du droit d'être entendu de M. H______, de sorte que la décision attaquée est pour ce motif contraire au droit.</w:t>
      </w:r>
    </w:p>
    <w:p>
      <w:r>
        <w:t>Ladite décision ayant de plus été déclarée immédiatement exécutoire nonobstant recours et le Dr V______ ayant aussitôt informé Mme H______, la chambre de céans ne peut plus réparer les violations relevées ci-dessus.</w:t>
      </w:r>
    </w:p>
    <w:p>
      <w:r>
        <w:t>Dès lors, l'examen du bien-fondé de la décision attaquée, lequel requerrait une instruction approfondie, a été rendu vain en l’espèce.</w:t>
      </w:r>
    </w:p>
    <w:p>
      <w:r>
        <w:rPr>
          <w:b/>
        </w:rPr>
        <w:t>E. 6</w:t>
      </w:r>
    </w:p>
    <w:p>
      <w:r>
        <w:t>Les conclusions du recourant relatives au fait que le Dr V______ a procédé à un test de dépistage sans l'en informer et à la manière dont le Dr V______ a communiqué ce diagnostic à l'un et l'autre des époux - soit par téléphone - sont irrecevables, le litige étant circonscrit par la décision attaquée. Ces questions relèvent cas échéant de la commission de surveillance des professions de la santé et des droits des patients, à laquelle une copie du présent arrêt sera transmise pour information.</w:t>
      </w:r>
    </w:p>
    <w:p>
      <w:r>
        <w:t>- 10/11 - A/881/2013</w:t>
      </w:r>
    </w:p>
    <w:p>
      <w:r>
        <w:rPr>
          <w:b/>
        </w:rPr>
        <w:t>E. 7</w:t>
      </w:r>
    </w:p>
    <w:p>
      <w:r>
        <w:t>Vu l'issue du litige, il ne sera pas perçu d'émolument. Une indemnité de procédure de CHF 1'000.- sera allouée à M. H______,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