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ATA/375/2025 vom 2. April 2025</w:t>
      </w:r>
    </w:p>
    <w:p>
      <w:r>
        <w:t>GE Cour de justice, 2025-04-02, FR</w:t>
      </w:r>
    </w:p>
    <w:p>
      <w:r>
        <w:rPr>
          <w:b/>
        </w:rPr>
        <w:t xml:space="preserve">Quelle: </w:t>
      </w:r>
      <w:r>
        <w:t>https://mcp.opencaselaw.ch/entscheid/ge_gerichte_ATA_375_2025</w:t>
      </w:r>
    </w:p>
    <w:p>
      <w:r>
        <w:t>FR: GE_GERICHTE ATA/375/2025 du 2 avril 2025</w:t>
      </w:r>
    </w:p>
    <w:p>
      <w:r>
        <w:t>IT: GE_GERICHTE ATA/375/2025 del 2 aprile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(LaLEtr - F 2 10).</w:t>
      </w:r>
    </w:p>
    <w:p>
      <w:r>
        <w:rPr>
          <w:b/>
        </w:rPr>
        <w:t>E. 2</w:t>
      </w:r>
    </w:p>
    <w:p>
      <w:r>
        <w:t>Selon l’art. 10 al. 2 LaLEtr, la chambre administrative doit statuer dans les dix jours qui suivent sa saisine. Ayant reçu le recours le 24 mars 2025 et statuant ce jour, elle respecte ce délai. À teneur dudit art. 10 LaLEtr, elle est compétente pour apprécier l’opportunité des décisions portées devant elle en cette matière (al. 2 2e phr.) ; elle peut confirmer, réformer ou annuler la décision attaquée ; le cas échéant, elle ordonne la mise en liberté de l’étranger (al. 3 1re phr.).</w:t>
      </w:r>
    </w:p>
    <w:p>
      <w:r>
        <w:rPr>
          <w:b/>
        </w:rPr>
        <w:t>E. 3</w:t>
      </w:r>
    </w:p>
    <w:p>
      <w:r>
        <w:t>Le recourant ne conteste pas, à juste titre, qu'il existe, dans son cas, un motif de détention administrative en vue du renvoi au sens de l'art. 76 LEI. En l'occurrence, la détention administrative du recourant - qui a fait l'objet d'une décision d’interdiction d’entrée en Suisse valable jusqu’au 24 novembre 2025, puis d'une décision d'expulsion pénale pour une durée de 5 ans rendue le 15 août 2022 -</w:t>
      </w:r>
    </w:p>
    <w:p>
      <w:r>
        <w:t>- 7/12 - A/727/2025 est fondée sur l'art. 76 al. 1 let. b ch. 1 LEI en lien avec l'art. 75 al. 1 let. a, c et h LEI, lesquels visent notamment la personne qui franchit la frontière malgré une interdiction d’entrée en Suisse et ne peut être renvoyée immédiatement (let. c) ou a été condamnée pour un crime (let. h). Les conditions pour une détention administrative sont remplies sans qu’il ne soit nécessaire d’analyser si celles de la let. a le sont également.</w:t>
      </w:r>
    </w:p>
    <w:p>
      <w:r>
        <w:rPr>
          <w:b/>
        </w:rPr>
        <w:t>E. 4</w:t>
      </w:r>
    </w:p>
    <w:p>
      <w:r>
        <w:t>Le recourant invoque l’inexécutabilité de son renvoi.</w:t>
      </w:r>
    </w:p>
    <w:p>
      <w:r>
        <w:rPr>
          <w:b/>
        </w:rPr>
        <w:t>E. 4.1</w:t>
      </w:r>
    </w:p>
    <w:p>
      <w:r>
        <w:t>L’art. 80 al. 6 let. a LEI prévoit que la détention est levée lorsque le motif de la détention n’existe plus ou l’exécution du renvoi ou de l’expulsion s’avère impossible pour des raisons juridiques ou matérielles.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 Selon l’art. 80 al. 4 LEI, lorsqu’elle examine la décision de détention, de maintien ou de levée de celle-ci, l’autorité judiciaire tient compte de la situation familiale de la personne détenue et des conditions d’exécution de la détention.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(arrêt du Tribunal administratif fédéral (ci-après :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w:t>
      </w:r>
    </w:p>
    <w:p>
      <w:r>
        <w:t>- 8/12 - A/727/2025 manière certaine à la mise en danger concrète de sa vie ou à une atteinte sérieuse, durable, et notablement plus grave de son intégrité physique (ATAF F-1602/2020 du 14 février 2022 consid. 5.3.4). 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ATF 137 II 305 consid. 4.3 ; arrêts du Tribunal fédéral 2D_14/2018 du 13 août 2018 consid. 4.1;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rPr>
          <w:b/>
        </w:rPr>
        <w:t>E. 4.2</w:t>
      </w:r>
    </w:p>
    <w:p>
      <w:r>
        <w:t>Le médecin mandaté par le SEM pour assurer, lors du départ, la surveillance médicale en vue de l’exécution d’un renvoi ou d’une expulsion a compétence pour décider si une personne est médicalement apte à être transportée dans le cadre de l’exécution d’un renvoi ou d’une expulsion (art. 15p de l’ordonnance sur</w:t>
      </w:r>
    </w:p>
    <w:p>
      <w:r>
        <w:t>- 9/12 - A/727/2025 l’exécution du renvoi et de l’expulsion d’étrangers, du 11 août 1999 [OERE - RS 142.281]) Le médecin visé à l’art. 15p OERE communique sans délai aux services visés à l’art. 71b al. 1 let. a et b LEI sa décision concernant l’aptitude au transport et les informations nécessaires à l’organisation du départ (art. 15r OERE).</w:t>
      </w:r>
    </w:p>
    <w:p>
      <w:r>
        <w:rPr>
          <w:b/>
        </w:rPr>
        <w:t>E. 4.3</w:t>
      </w:r>
    </w:p>
    <w:p>
      <w:r>
        <w:t>En l’espèce, si certes le recourant n’est pas en excellente santé, les affections médicales qu’il présente ne sont pas d’une gravité telle qu’elles seraient de nature à mettre gravement en danger sa vie ou son intégrité physique. Ni les suites de son accident au coude droit, ni les problèmes d’estomac, ni même les problèmes psychiques n’impliquent un risque réel d'être exposé à un déclin grave en cas de retour dans son pays, rapide et irréversible de son état de santé entraînant des souffrances intenses ou à une réduction significative de son espérance de vie au sens de la jurisprudence précitée. Par ailleurs, les traitements médicaux sont disponibles au Maroc, quand bien même certains peuvent être plus difficiles ou longs à obtenir, notamment en matière de consultations psychiatriques et que le personnel médical serait en nombre insuffisant. Enfin, l’exécution du renvoi ne pourrait en tous les cas intervenir qu’après une analyse médicale conformément aux art. 15 let. p et r OERE. Le grief sera donc rejeté.</w:t>
      </w:r>
    </w:p>
    <w:p>
      <w:r>
        <w:rPr>
          <w:b/>
        </w:rPr>
        <w:t>E. 5</w:t>
      </w:r>
    </w:p>
    <w:p>
      <w:r>
        <w:t>Le recourant se plaint de ses conditions de détention.</w:t>
      </w:r>
    </w:p>
    <w:p>
      <w:r>
        <w:rPr>
          <w:b/>
        </w:rPr>
        <w:t>E. 5.1</w:t>
      </w:r>
    </w:p>
    <w:p>
      <w:r>
        <w:t>L'autorité judiciaire chargée du contrôle de la décision de détention administrative doit examiner notamment les conditions d'exécution de la détention (art. 80 al. 4 LEI ; arrêts du Tribunal fédéral 2C_37/2011 du 1er février 2011 consid. .2 ; 2C_128/2009 du 20 mars 2009 consid. 3.2 ; 2C_169/2008 du 18 mars 2008 consid. 4.3).</w:t>
      </w:r>
    </w:p>
    <w:p>
      <w:r>
        <w:rPr>
          <w:b/>
        </w:rPr>
        <w:t>E. 5.2</w:t>
      </w:r>
    </w:p>
    <w:p>
      <w:r>
        <w:t>Selon l’art. 81 LEI, intitulé « conditions de détention », l’étranger en détention peut s’entretenir et correspondre avec son mandataire, les membres de sa famille et les autorités consulaires (al. 1). La détention a lieu dans un établissement servant à l’exécution de la détention en phase préparatoire, de la détention en vue du renvoi ou de l’expulsion ou de la détention pour insoumission (al. 2).</w:t>
      </w:r>
    </w:p>
    <w:p>
      <w:r>
        <w:rPr>
          <w:b/>
        </w:rPr>
        <w:t>E. 5.3</w:t>
      </w:r>
    </w:p>
    <w:p>
      <w:r>
        <w:t>La rétention et la détention sont exécutées dans un établissement fermé, à l'intérieur duquel la liberté de circulation est garantie dans les limites imposées par la gestion d'une structure communautaire. Selon l'art. 12a LaLEtr, les conditions d’exécution de la détention sont régies par le chapitre troisième du concordat sur l’exécution de la détention administrative à l’égard des étrangers du 4 juillet 1996 (CEDA - F 2 12, conclu entre les cantons de Vaud, Neuchâtel et Genève.).</w:t>
      </w:r>
    </w:p>
    <w:p>
      <w:r>
        <w:rPr>
          <w:b/>
        </w:rPr>
        <w:t>E. 5.4</w:t>
      </w:r>
    </w:p>
    <w:p>
      <w:r>
        <w:t>Le détenu a droit au respect et à la protection de sa dignité, de son intégrité physique et psychique et de ses convictions religieuses (art. 14 al. 1 CEDA) et l’exercice de ses droits ne peut être restreint que dans la mesure requise par la</w:t>
      </w:r>
    </w:p>
    <w:p>
      <w:r>
        <w:t>- 10/12 - A/727/2025 privation de liberté, par les exigences de la vie collective dans l’établissement ou par le fonctionnement normal de l’établissement (al. 2).</w:t>
      </w:r>
    </w:p>
    <w:p>
      <w:r>
        <w:rPr>
          <w:b/>
        </w:rPr>
        <w:t>E. 5.5</w:t>
      </w:r>
    </w:p>
    <w:p>
      <w:r>
        <w:t>Aux termes de l’art. 30 al. 1 CEDA, les cantons concordataires disposent des établissements suivants pour l’exécution de la détention administrative des étrangers : le ou les établissements gérés par la fondation concordataire (let. a) ; le ou les établissements gérés par l’un des cantons concordataires, reconnus par la Conférence (let. b). Selon l’al. 2, la reconnaissance (au sens de la lettre b ci-dessus) est décidée par la Conférence en considération du respect par l’établissement cantonal des conditions matérielles et des exigences qualitatives applicables à la détention administrative. Elle peut être assortie de conditions ou être limitée dans le temps.</w:t>
      </w:r>
    </w:p>
    <w:p>
      <w:r>
        <w:rPr>
          <w:b/>
        </w:rPr>
        <w:t>E. 5.6</w:t>
      </w:r>
    </w:p>
    <w:p>
      <w:r>
        <w:t>En l’espèce, le recourant ne conteste pas les soins médicaux reçus dans le canton de Genève. Il critique leur absence dans les établissements sédunois et zurichois. Il ressort toutefois des pièces produites un rapport médical de l’hôpital de Sion le 19 février 2025 ainsi qu’une radiographie de son coude prise le 23 février 2025. Les griefs d’une non prise en charge médicale par le centre de détention sédunois sont en conséquence dénués de fondement. De même, le recourant a été transféré à Zurich, selon ses dires, le 20 mars 2025. Ses critiques à l’encontre de l’établissement suisse alémanique ont été formulées le 26 mars 2025, soit moins d’une semaine après son arrivée, sans qu’il ne soit allégué que son état de santé aurait nécessité des soins urgents pendant les six jours en question, et que l’établissement n’y aurait pas donné suite. Dans sa réplique du 31 mars 2025, le recourant s’est limité à maintenir ses conclusions, n’émettant alors aucune critique spécifique sur une non-prise en charge de son état de santé. Enfin, comme relevé à juste titre par le TAPI, la nécessité d’avoir 45 séances de physiothérapie tel qu’allégué par le recourant ne ressort d’aucune pièce au dossier, leur nombre apparaissant pour le surplus relativement élevé. Le fait que cette prescription se trouverait dans son dossier médical aux HUG ne suffit pas pour pouvoir considérer que ce fait est établi, en l’absence de toute copie de ce document et même de toute mention d’une telle prescription sur les pièces médicales produites, y compris le certificat du Dr H______ du 30 janvier 2025. Le grief sera écarté.</w:t>
      </w:r>
    </w:p>
    <w:p>
      <w:r>
        <w:rPr>
          <w:b/>
        </w:rPr>
        <w:t>E. 6</w:t>
      </w:r>
    </w:p>
    <w:p>
      <w:r>
        <w:t>Dans un dernier grief, le recourant se plaint d’une violation du principe de la proportionnalité, souhaitant pouvoir suivre les séances de physiothérapie ce qui impliquerait, selon lui, d’être mis en liberté, éventuellement avec une obligation de se présenter quotidiennement à l’autorité.</w:t>
      </w:r>
    </w:p>
    <w:p>
      <w:r>
        <w:rPr>
          <w:b/>
        </w:rPr>
        <w:t>E. 6.1</w:t>
      </w:r>
    </w:p>
    <w:p>
      <w:r>
        <w:t>Traditionnellement, le principe de proportionnalité se compose des règles d’aptitude, qui exige que le moyen choisi soit propre à atteindre le but fixé, de nécessité, qui impose qu’entre plusieurs moyens adaptés, celui portant l’atteinte la moins grave aux intérêts privés soit privilégié, et de la proportionnalité au sens étroit, selon lequel les effets de la mesure choisie sur la situation de l’administré et</w:t>
      </w:r>
    </w:p>
    <w:p>
      <w:r>
        <w:t>- 11/12 - A/727/2025 le résultat escompté du point de vue de l’intérêt public soient mis en balance (ATA/1102/2021 du 19 octobre 2021 consid. 4e).</w:t>
      </w:r>
    </w:p>
    <w:p>
      <w:r>
        <w:rPr>
          <w:b/>
        </w:rPr>
        <w:t>E. 6.2</w:t>
      </w:r>
    </w:p>
    <w:p>
      <w:r>
        <w:t>La détention en phase préparatoire et la détention en vue du renvoi ou de l’expulsion visées aux art. 75 à 77 LEI ainsi que la détention pour insoumission visée à l’art. 78 LEI ne peuvent excéder six mois au total (art. 79 al. 1 LEI) ; la durée maximale de la détention peut, avec l’accord de l’autorité judiciaire cantonale, être prolongée de douze mois au plus, lorsque la personne concernée ne coopère pas avec l’autorité compétente et que l’obtention des documents nécessaires au départ auprès d’un État qui ne fait pas partie des États Schengen prend du retard (art. 79 al. 2 LEI).</w:t>
      </w:r>
    </w:p>
    <w:p>
      <w:r>
        <w:rPr>
          <w:b/>
        </w:rPr>
        <w:t>E. 6.3</w:t>
      </w:r>
    </w:p>
    <w:p>
      <w:r>
        <w:t>En l’espèce, la prolongation de la détention est une mesure apte à atteindre le but d’intérêt public consistant en l’exécution des décisions de justice, singulièrement l’exécution du renvoi du recourant. Elle est nécessaire pour ce faire, le recourant ayant à plusieurs reprises manifesté son irrespect de l’ordre juridique suisse, qu’il s’agisse de condamnations pénales ou de violation de l’interdiction d’entrée en Suisse. Il a de même manifesté à plusieurs reprises son refus d’être renvoyé au Maroc. Dans ces conditions, aucune mesure moins incisive que la mise en détention n’est suffisante pour garantir sa présence lors du prochain vol DEPA sur lequel une place lui sera réservée. Ainsi, si l’intérêt du recourant à recouvrer sa liberté personnelle est grand, l’intérêt public précité doit primer. Enfin, il n’a pas établi ni même rendu vraisemblable que les soins nécessaires au recourant ne pourraient lui être administrés que s’il était libéré. La durée de la prolongation de la détention de trois mois n’est pas contestée. Elle est conforme à l’art. 79 LEI. Entièrement mal fondé, le recours sera rejeté.</w:t>
      </w:r>
    </w:p>
    <w:p>
      <w:r>
        <w:rPr>
          <w:b/>
        </w:rPr>
        <w:t>E. 7</w:t>
      </w:r>
    </w:p>
    <w:p>
      <w:r>
        <w:t>La procédure étant gratuite (art. 12 al. 1 du règlement sur les frais, émoluments et indemnités en procédure administrative du 30 juillet 1986 - RFPA - E 5 10.03), aucun émolument ne sera perçu (art. 87 al. 1 LPA).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