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ATA/375/2012 vom 12. Juni 2012</w:t>
      </w:r>
    </w:p>
    <w:p>
      <w:r>
        <w:t>GE Cour de justice, 2012-06-12, FR</w:t>
      </w:r>
    </w:p>
    <w:p>
      <w:r>
        <w:rPr>
          <w:b/>
        </w:rPr>
        <w:t xml:space="preserve">Quelle: </w:t>
      </w:r>
      <w:r>
        <w:t>https://mcp.opencaselaw.ch/entscheid/ge_gerichte_ATA_375_2012</w:t>
      </w:r>
    </w:p>
    <w:p>
      <w:r>
        <w:t>FR: GE_GERICHTE ATA/375/2012 du 12 juin 2012</w:t>
      </w:r>
    </w:p>
    <w:p>
      <w:r>
        <w:t>IT: GE_GERICHTE ATA/375/2012 del 12 giugno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rPr>
          <w:b/>
        </w:rPr>
        <w:t>E. 2</w:t>
      </w:r>
    </w:p>
    <w:p>
      <w:r>
        <w:t>Interjeté en temps utile devant la juridiction compétente, le recours est recevable (art. 132 LOJ ; art. 62 al. 1 let. a de la loi sur la procédure administrative du 12 septembre 1985 - LPA - E 5 10).</w:t>
      </w:r>
    </w:p>
    <w:p>
      <w:r>
        <w:rPr>
          <w:b/>
        </w:rPr>
        <w:t>E. 3</w:t>
      </w:r>
    </w:p>
    <w:p>
      <w:r>
        <w:t>Le 1er janvier 2010 est entrée en vigueur la loi sur l’imposition des personnes physiques du 27 septembre 2009 (LIPP - D 3 08), dont l’art. 69 abroge les cinq anciennes lois sur l’imposition des personnes physiques (LIPP I à V), en particulier la loi sur l’imposition des personnes physiques - Impôt sur le revenu (revenu imposable), du 22 septembre 2000 (LIPP-IV)</w:t>
      </w:r>
    </w:p>
    <w:p>
      <w:r>
        <w:t>L’art. 72 al. 1 LIPP dispose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En l’espèce, le recours concerne la période fiscale 2005. Il s’ensuit que la présente cause est régie par les dispositions de l’ancien droit.</w:t>
      </w:r>
    </w:p>
    <w:p>
      <w:r>
        <w:t>- 6/10 - A/3280/2009</w:t>
      </w:r>
    </w:p>
    <w:p>
      <w:r>
        <w:rPr>
          <w:b/>
        </w:rPr>
        <w:t>E. 4</w:t>
      </w:r>
    </w:p>
    <w:p>
      <w:r>
        <w:t>Le litige consiste à déterminer à quelle catégorie de fortune, commerciale ou privée, doit être rattachée la transaction en cause.</w:t>
      </w:r>
    </w:p>
    <w:p>
      <w:r>
        <w:t>La distinction entre ces deux catégories est fondamentale dès lors que les gains en capital sur les biens appartenant à la fortune privée ne sont pas imposables (art. 16 al. 3 LIFD), sauf pour les immeubles qui sont frappés d’un impôt cantonal (art. 80 ss de la loi générale sur les contributions publiques du</w:t>
      </w:r>
    </w:p>
    <w:p>
      <w:r>
        <w:rPr>
          <w:b/>
        </w:rPr>
        <w:t>E. 9</w:t>
      </w:r>
    </w:p>
    <w:p>
      <w:r>
        <w:t>Ces derniers entendent se prévaloir de la manière dont ils ont déclaré ce bien et ont été taxés précédemment, invoquant ainsi le principe de la bonne foi.</w:t>
      </w:r>
    </w:p>
    <w:p>
      <w:r>
        <w:t>- 8/10 - A/3280/2009</w:t>
      </w:r>
    </w:p>
    <w:p>
      <w:r>
        <w:t>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 MULLER/U. HÄFELIN/ F.UHLMANN, Allgemeines Verwaltungsrecht, Zürich 2006, 5ème éd., p. 130ss ; A. AUER/ G. MALINVERNI/ M. HOTTELIER, Droit constitutionnel suisse, Berne 2006, Vol. 2, 2ème éd., p. 546, n. 1165ss ; P. MOOR, Droit administratif, Berne 1994, Vol. 1, 2ème éd., p. 430, n. 5.3.2.1).</w:t>
      </w:r>
    </w:p>
    <w:p>
      <w:r>
        <w:t>b. Le principe de la bonne foi régit aussi les rapports entre les autorités fiscales et les contribuables; le droit fiscal est toutefois dominé par le principe de la légalité, de telle sorte que le principe de la bonne foi ne saurait avoir qu'une influence limitée en cette matière (cf. art. 5 et 9 Cst. ; ATF 131 II 627 consid. 6.1 p. 637 ; 118 Ib 312 consid. 3b p. 316 ; E. BLUMENSTEIN/ P. LOCHER, System des Steuerrechts, Zurich 2002, 6ème éd., p. 28 et les nombreuses références ; J.-M. RIVIER, Droit fiscal suisse, Lausanne 1998, 2ème éd., p. 132).</w:t>
      </w:r>
    </w:p>
    <w:p>
      <w:r>
        <w:t>Ainsi, la contribuable ne peut bénéficier d'un traitement dérogeant à la loi que si les conditions mentionnées ci-dessus - qui doivent être interprétées de manière stricte - sont remplies clairement et sans équivoque (Arrêt du Tribunal fédéral 2C.382/2007 du 23 novembre 2007 consid. 3 ; 2A.83/2006 du 18 octobre 2006 consid. 7 ; ATA/589/2009 du 10 novembre 2009 ; ATA/111/2006 du 7 mars 2006 consid. 5b).</w:t>
      </w:r>
    </w:p>
    <w:p>
      <w:r>
        <w:t>Les recourants considèrent à tort les taxations antérieures comme des assurances données par l'AFC-GE, dès lors qu'un contribuable n'est pas protégé par une taxation passée en force au delà de la période concernée et l'administration est en droit de changer sa position lors d'une taxation ultérieure</w:t>
      </w:r>
    </w:p>
    <w:p>
      <w:r>
        <w:t>- 9/10 - A/3280/2009 (ATA/866/2010 du 7 décembre 2010 ; J.-A. REYMOND, La bonne foi de l'administration en droit fiscal, in Présence et actualité de la Constitution dans l'ordre juridique, Genève 1991, p. 380 ; RDAF 1971 p. 110)</w:t>
      </w:r>
    </w:p>
    <w:p>
      <w:r>
        <w:t>En l'espèce, les conditions d'application du principe de la bonne foi, telles que développées ci-dessus, ne sont pas remplies. La taxation 2005 est conforme au droit et aucune assurance particulière n'a été donnée aux recourants quant à celle-ci.</w:t>
      </w:r>
    </w:p>
    <w:p>
      <w:r>
        <w:rPr>
          <w:b/>
        </w:rPr>
        <w:t>E. 10</w:t>
      </w:r>
    </w:p>
    <w:p>
      <w:r>
        <w:t>Dans la mesure où les recourants demandent à ce que l'instruction porte également sur la rectification des taxations antérieures et ont pris des conclusions en renvoi de la cause à l'AFC-GE pour modification de celles-ci, ils adressent à la juridiction de céans une demande de révision de ces décisions en force qu'elle n'est pas compétente pour traiter en première instance (art. 147 et ss LIFD ; art. 55 et ss de la loi de procédure fiscale, du 4 octobre 2001 - LPFisc ; RS D 3 17). Les conclusions en question sont ainsi irrecevables et la demande sera donc transmise à l'AFC-GE, conformément à l'art. 64 al 2 LPA.</w:t>
      </w:r>
    </w:p>
    <w:p>
      <w:r>
        <w:rPr>
          <w:b/>
        </w:rPr>
        <w:t>E. 11</w:t>
      </w:r>
    </w:p>
    <w:p>
      <w:r>
        <w:t>Au vu de ce qui précède, le recours sera rejeté dans la mesure de sa recevabilité.</w:t>
      </w:r>
    </w:p>
    <w:p>
      <w:r>
        <w:t>Vu l'issue du litige, un émolument de CHF 1'500.- sera mis à la charge des recourant, pris conjointement et solidairement.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