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ATA/374/2016 vom 3. Mai 2016</w:t>
      </w:r>
    </w:p>
    <w:p>
      <w:r>
        <w:t>GE Cour de justice, 2016-05-03, FR</w:t>
      </w:r>
    </w:p>
    <w:p>
      <w:r>
        <w:rPr>
          <w:b/>
        </w:rPr>
        <w:t xml:space="preserve">Quelle: </w:t>
      </w:r>
      <w:r>
        <w:t>https://mcp.opencaselaw.ch/entscheid/ge_gerichte_ATA_374_2016</w:t>
      </w:r>
    </w:p>
    <w:p>
      <w:r>
        <w:t>FR: GE_GERICHTE ATA/374/2016 du 3 mai 2016</w:t>
      </w:r>
    </w:p>
    <w:p>
      <w:r>
        <w:t>IT: GE_GERICHTE ATA/374/2016 del 3 maggio 2016</w:t>
      </w:r>
    </w:p>
    <w:p>
      <w:pPr>
        <w:pStyle w:val="Heading2"/>
      </w:pPr>
      <w:r>
        <w:t>Regeste</w:t>
      </w:r>
    </w:p>
    <w:p>
      <w:r>
        <w:t>Résumé: examen de la recevabilité d'un recours devant le Tribunal administratif de première instance. Un recours déposé plus de deux ans après la parution dans la FAO d'un transfert de propriété d'une part de PPE par un tiers qui possède la qualité pour recourir mais n'était pas partie en procédure non contentieuse, est tardif en application des règles de la bonne foi ne s'agissant pas d'un délai raisonnable apprécié selon les circonstances.</w:t>
      </w:r>
    </w:p>
    <w:p>
      <w:pPr>
        <w:pStyle w:val="Heading2"/>
      </w:pPr>
      <w:r>
        <w:t>Erwägungen</w:t>
      </w:r>
    </w:p>
    <w:p>
      <w:r>
        <w:rPr>
          <w:b/>
        </w:rPr>
        <w:t>E. 11</w:t>
      </w:r>
    </w:p>
    <w:p>
      <w:r>
        <w:t>avril 2014 consid. 1.1 ; 1C.152/2012 du 21 mai 2012 consid. 1.2). En application de ces principes, le recours d’un particulier ou d'une association, formé dans l’intérêt de la loi ou d’un tiers, est irrecevable (ATF 134 II 40 consid. 2.3 p. 43 ; 131 II 587 consid. 2.1 p. 588 ss ; 131 II 361 consid. 1.2 p. 365 ; arrêt du Tribunal fédéral 1C_205/2012 du 6 novembre 2012 consid. 2.3 ; ATA/113/2013 du 26 février 2013 ; ATA/440/2012 du 26 juillet 2012 ; ATA/402/2009 du 25 août 2009 ; ATA/399/2009 du 25 août 2009).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ATA/134/2015 du 3 février 2015 ; ATA/19/2014 du</w:t>
      </w:r>
    </w:p>
    <w:p>
      <w:r>
        <w:rPr>
          <w:b/>
        </w:rPr>
        <w:t>E. 14</w:t>
      </w:r>
    </w:p>
    <w:p>
      <w:r>
        <w:t>janvier 2014 ; ATA/362/2013 du 11 juin 2013). Un intérêt purement théorique à la solution d'un problème est de même insuffisant. Tel est le cas notamment si le recours vise les motifs de la décision et que, même admis, il n'y aurait pas lieu d'en modifier le dispositif (arrêt du Tribunal fédéral I.239/05 du 22 mars 2007 consid. 4.2 ; ATA/259/2013 du 23 avril 2013 ; ATA/207/2009 du 28 avril 2009 consid. 3 ; Pierre MOOR/Étienne POLTIER, Droit administratif, vol. 2, 3ème éd., 2011, p.729, n. 5.7.2.1).</w:t>
      </w:r>
    </w:p>
    <w:p>
      <w:r>
        <w:t>c. En l’espèce, le jugement litigieux ne remet pas en cause les donations faites par M. COHEN et ce dernier ne saurait tirer un intérêt de fait ou de droit digne de</w:t>
      </w:r>
    </w:p>
    <w:p>
      <w:r>
        <w:t>- 7/10 - A/2604/2014 protection, d’éventuelles donations ultérieures, auxquelles il souhaite procéder. En cela son intérêt ne se distingue pas de celui de n’importe quel propriétaire.</w:t>
      </w:r>
    </w:p>
    <w:p>
      <w:r>
        <w:t>Vu l’absence de qualité pour recourir, le recours sera déclaré irrecevable. 3)</w:t>
      </w:r>
    </w:p>
    <w:p>
      <w:r>
        <w:t>Interjeté en temps utile devant la juridiction compétente, le recours déposé par le département est quant à lui recevable (art. 132 LOJ ; art. 62 al. 1 let. a LPA). 4)</w:t>
      </w:r>
    </w:p>
    <w:p>
      <w:r>
        <w:t>La chambre de céans doit examiner d’office si l’instance précédente a respecté les conditions de recevabilité qui doivent être remplies devant elle (Pierre MOOR/Étienne POLTIER, op. cit., p. 626 n. 5.3.1.1). 5)</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8C_191/2010 du 12 octobre 2010 consid. 6.1 ; ATA/1339/2015 du 15 décembre 2015 et les arrêts cités ; Thierry TANQUEREL, Manuel de droit administratif, 2011, pp. 269 ss n. 783 ss ; Pierre MOOR/Étienne POLTIER, op. cit. pp. 179 ss n. 2.1.2.1 ss et 245 n. 2.2.3.3 ; Ulrich HÄFELIN/Georg MÜLLER/Felix UHLMANN, Allgemeines Verwaltungsrecht, 7ème éd., 2016, p. 195 n. 874 ss). Les décisions doivent être désignées comme telles, motivées et signées, et indiquer les voies et délais de recours (art. 46 al. 1 LPA).</w:t>
      </w:r>
    </w:p>
    <w:p>
      <w:r>
        <w:t>Le courrier du 24 août 2014 de l’office du département ne remplit pas les conditions d’une décision mais constitue une information concernant l’absence de décision prise dans une procédure non contentieuse ayant conduit à l’inscription des donations litigieuses au registre foncier. L’ASLOCA n’étant qu’un tiers dans cette procédure, elle ne pouvait intervenir qu’au stade de la procédure contentieuse sur la base du droit de recourir qui lui est conféré par l’art. 45</w:t>
      </w:r>
    </w:p>
    <w:p>
      <w:r>
        <w:t>- 8/10 - A/2604/2014 al. 4 LDTR. Elle n’est d’ailleurs pas destinataire de la décision dont elle demande l’annulation.</w:t>
      </w:r>
    </w:p>
    <w:p>
      <w:r>
        <w:t>Quant à la communication de la teneur de sa pratique par le département, elle ne constitue pas non plus une décision, n’ayant notamment aucun caractère individuel.</w:t>
      </w:r>
    </w:p>
    <w:p>
      <w:r>
        <w:t>En conséquence, en tant qu’il est déposé contre le courrier du 24 août 2014, le recours aurait dû être jugé irrecevable par le TAPI. 6)</w:t>
      </w:r>
    </w:p>
    <w:p>
      <w:r>
        <w:t>Reste à examiner si c’est à juste titre que le TAPI a retenu que le recours était également recevable, même en l’absence de décision, sur la base de la jurisprudence rendue par la chambre de céans dans les cas où un tiers recourt au motif que le droit applicable avait été mal déterminé par l’autorité et que la loi qui aurait dû être appliquée (la LDTR) exigeait qu’une décision soit prise et qu’elle ne l’avait pas été (ATA/948/2014 du 2 décembre 2014 ; ATA/79/2015 du 20 janvier 2015).</w:t>
      </w:r>
    </w:p>
    <w:p>
      <w:r>
        <w:t>En l’espèce, le recours de l’ASLOCA auprès du TAPI visait à faire constater que les donations opérées violaient l’art. 39 LDTR. Ainsi, de même que dans les causes précitées, en l’absence d’autorisation, l’on ne pouvait exiger que l’ASLOCA mette le département en demeure de statuer avant lesdits transferts pour obtenir une décision. Ce qui distingue toutefois ces causes de la présente, c’est que les recours objets des arrêts précités avaient été déposés dans un délai de trente jours après la publication des transferts litigieux au registre foncier.</w:t>
      </w:r>
    </w:p>
    <w:p>
      <w:r>
        <w:t>Selon les règles de la bonne foi, les personnes non destinataires d’une décision mais ayant qualité pour recourir doivent recourir dans un délai raisonnable dont la durée s’apprécie selon les circonstances (Benoît BOVAY, Procédure administrative, 2015, p. 530 ; Pierre MOOR/Étienne POLTIER, op. cit., p. 810 n. 5.8.2).</w:t>
      </w:r>
    </w:p>
    <w:p>
      <w:r>
        <w:t>En l’espèce, le registre foncier a procédé à la publication des donations litigieuses du 10 avril 2012, dans la Feuille d’avis officielle de la République et canton de Genève (FAO) dans son édition du 20 avril 2012, et ce n’est que le 2 septembre 2014 que l’ASLOCA a déposé son recours auprès du TAPI, soit plus de deux ans après les transferts.</w:t>
      </w:r>
    </w:p>
    <w:p>
      <w:r>
        <w:t>Même si le recours de l’ASLOCA n’a pas pour objet ces publications du registre foncier mais l’absence d’autorisation d’aliéner délivrée par le département, celles-ci ont pour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w:t>
      </w:r>
    </w:p>
    <w:p>
      <w:r>
        <w:t>- 9/10 - A/2604/2014 les acquéreurs de contestations ou de réclamations tardives (ATA/948/2014 précité).</w:t>
      </w:r>
    </w:p>
    <w:p>
      <w:r>
        <w:t>À cela s’ajoute qu’aux termes de l’art. 45 al. 1 LDTR, les décisions prises et autorisations délivrées par le département en application de la LDTR doivent également être publiées dans la FAO.</w:t>
      </w:r>
    </w:p>
    <w:p>
      <w:r>
        <w:t>Il découle de ce qui précède, qu’en croisant les informations concernant d’une part les transferts publiés par le registre foncier et, d’autre part, celles concernant les décisions d’autorisation publiées par le département ou l’absence de publication, l’ASLOCA pouvait recourir dans un délai raisonnable dès la date de publication des donations. En l’espèce, le délai dans lequel le recours a été déposé ne remplit à l’évidence pas cette condition. Déposé plus de deux ans après la publication des transferts, le recours doit être considéré comme tardif et le TAPI aurait dû le juger irrecevable pour ce motif.</w:t>
      </w:r>
    </w:p>
    <w:p>
      <w:r>
        <w:t>En conséquence, le recours du département sera admis et le jugement du TAPI annulé. 7)</w:t>
      </w:r>
    </w:p>
    <w:p>
      <w:r>
        <w:t>Vu l’issue du litige, un émolument de CHF 500.- sera mis à la charge de M. COHEN, un émolument de CHF 500.- sera également mis à la charge de l’ASLOCA (art. 87 al. 1 LPA) ; aucun émolument ne sera mis à la charge du département (art. 87 al. 1 2ème phr.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