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ATA/373/2018 vom 24. April 2018</w:t>
      </w:r>
    </w:p>
    <w:p>
      <w:r>
        <w:t>GE Cour de justice, 2018-04-24, FR</w:t>
      </w:r>
    </w:p>
    <w:p>
      <w:r>
        <w:rPr>
          <w:b/>
        </w:rPr>
        <w:t xml:space="preserve">Quelle: </w:t>
      </w:r>
      <w:r>
        <w:t>https://mcp.opencaselaw.ch/entscheid/ge_gerichte_ATA_373_2018</w:t>
      </w:r>
    </w:p>
    <w:p>
      <w:r>
        <w:t>FR: GE_GERICHTE ATA/373/2018 du 24 avril 2018</w:t>
      </w:r>
    </w:p>
    <w:p>
      <w:r>
        <w:t>IT: GE_GERICHTE ATA/373/2018 del 24 aprile 2018</w:t>
      </w:r>
    </w:p>
    <w:p>
      <w:pPr>
        <w:pStyle w:val="Heading2"/>
      </w:pPr>
      <w:r>
        <w:t>Regeste</w:t>
      </w:r>
    </w:p>
    <w:p>
      <w:r>
        <w:t>Résumé: Irrecevabilité du recours interjeté par des tiers, non parties à la procédure de première instance, contre un jugement portant sur l'occupation du domaine public, en l'absence d'intérêt digne de protection.</w:t>
      </w:r>
    </w:p>
    <w:p>
      <w:pPr>
        <w:pStyle w:val="Heading2"/>
      </w:pPr>
      <w:r>
        <w:t>Erwägungen</w:t>
      </w:r>
    </w:p>
    <w:p>
      <w:r>
        <w:rPr>
          <w:b/>
        </w:rPr>
        <w:t>E. 26</w:t>
      </w:r>
    </w:p>
    <w:p>
      <w:r>
        <w:t>septembre 2010 - LOJ - E 2 05 ; art. 62 al. 1 let. a de la loi sur la procédure administrative du 12 septembre 1985 - LPA - E 5 10).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w:t>
      </w:r>
    </w:p>
    <w:p>
      <w:r>
        <w:t>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de même insuffisant (ATA/805/2013 du 10 décembre 2013).</w:t>
      </w:r>
    </w:p>
    <w:p>
      <w:r>
        <w:t>- 9/12 - A/2290/2016</w:t>
      </w:r>
    </w:p>
    <w:p>
      <w:r>
        <w:t>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La qualité pour recourir d’un tiers, qui n’est pas le destinataire de la décision attaquée, ne peut être admise que de façon très limitée et suppose qu’il soit lui-même atteint de manière particulière par le prononcé litigieux (ATF 139 II 279 consid. 2.2 ; 137 III 67 consid. 3.5 ; arrêt du Tribunal fédéral 1C_665/2013 du 24 mars 2014 consid. 3.1). Par ailleurs, les concurrents du bénéficiaire d’une autorisation n’ont pas qualité pour recourir du seul fait qu’ils invoquent la crainte d’être exposés à une concurrence accrue, une telle conséquence découlant naturellement du principe de la libre concurrence (ATF 142 II 80 consid. 1.4.2 ; arrêt du Tribunal fédéral 2C_90/2016 précité consid. 3.3).</w:t>
      </w:r>
    </w:p>
    <w:p>
      <w:r>
        <w:t>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w:t>
      </w:r>
    </w:p>
    <w:p>
      <w:r>
        <w:t>Ainsi, la condition de l’intérêt actuel fait défaut lorsque, par exemple, la décision ou la loi est révoquée ou annulée en cours d’instance (ATF 111 Ib 182 consid. 2 ; ATA/124/2005 du 8 mars 2005) ou que la décision attaquée a été exécutée et a sorti tous ses effets (ATF 125 I 394 consid. 4 ; ATA/610/2017 du 20 mai 2017 ; ATA/193/2013 du 26 mars 2013).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1C_495/2014 du 23 février 2015 consid. 1.3). De cette manière, les tribunaux sont assurés de trancher uniquement des questions concrètes et non de prendre des décisions à caractère théorique, ce qui répond à un souci d’économie de procédure (ATF 136 I 274 consid. 1.3 ; arrêt du Tribunal fédéral 1C_495/2014 précité consid. 1.2).</w:t>
      </w:r>
    </w:p>
    <w:p>
      <w:r>
        <w:t>- 10/12 - A/2290/2016</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arrêt du Tribunal fédéral 2C_36/2018 précité consid. 5.2 ; ATA/211/2018 du 6 mars 2018 et les références citées).</w:t>
      </w:r>
    </w:p>
    <w:p>
      <w:r>
        <w:t>e.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8C_779/2015 du 8 août 2016 consid. 4.4.1). 3)</w:t>
      </w:r>
    </w:p>
    <w:p>
      <w:r>
        <w:t>En l’espèce, l’objet du recours au TAPI est la décision de la capitainerie refusant de donner suite à la requête de Stand-Up d’obtenir une permission d’occupation du domaine public sur le site du CNGP à l’instar des entités sur place, notamment CBWSS et Wake Event. Ces dernières n’ont été parties ni à la procédure non contentieuse, ni à celle par-devant le TAPI, lequel a admis le recours de Stand-Up et annulé la décision entreprise.</w:t>
      </w:r>
    </w:p>
    <w:p>
      <w:r>
        <w:t>S’il n’est pas contesté que CBWSS et Wake Event disposent de permissions d’occupation du domaine public sur le site du CNGP depuis plus de vingt ans pour la première et à tout le moins depuis 2016 pour la seconde, lesquelles ont été renouvelées d’année en année, ce seul élément ne saurait leur conférer un intérêt digne de protection à recourir contre le jugement du TAPI opposant les intimés, à défaut de conséquences directes et concrètes à leur égard. En effet, le préjudice financier invoqué en lien avec les investissements consentis sur le site et leur probable faillite en cas d’éviction de la mise au concours des permissions envisagées ne constitue qu'une hypothèse parmi d’autres, dont les issues demeurent à ce jour inconnues.</w:t>
      </w:r>
    </w:p>
    <w:p>
      <w:r>
        <w:t>En outre, les intéressées ne disposent d’aucun droit acquis illimité d’occupation sur le domaine public et, indépendamment du jugement du TAPI, le département n’est pas tenu au renouvellement des permissions dont elles bénéficient, qu’il peut, en tout état de cause, mettre au concours. Dans ce cadre, les recourants ne peuvent se prévaloir de la convention du 3 juin 2015, qui se limite à réglementer l’exploitation du « wake-câble », le département ayant fait savoir que, en cas de mise au concours, la situation particulière de CBWSS serait prise en compte.</w:t>
      </w:r>
    </w:p>
    <w:p>
      <w:r>
        <w:t>À cela s’ajoute que, même si le jugement entrepris évoque la situation de CBWSS et Wake Event, son dispositif n’a aucune conséquence à leur égard et</w:t>
      </w:r>
    </w:p>
    <w:p>
      <w:r>
        <w:t>- 11/12 - A/2290/2016 leur recours s’avère en tout état de cause prématuré. Il sera ainsi loisible à CBWSS et Wake Event de contester une future mise en concours, comme le département l’a annoncé, le moment venu.</w:t>
      </w:r>
    </w:p>
    <w:p>
      <w:r>
        <w:t>CBWSS et Wake Event ne disposent ainsi pas de la qualité pour recourir. Il en va a fortiori de même des personnes physiques recourantes, qui ne se sont d’ailleurs pas déterminées à ce propos. 4)</w:t>
      </w:r>
    </w:p>
    <w:p>
      <w:r>
        <w:t>Il s’ensuit que le recours est irrecevable. 5)</w:t>
      </w:r>
    </w:p>
    <w:p>
      <w:r>
        <w:t>Vu l’issue du litige, un émolument de CHF 700.- sera mis à la charge des recourants, pris conjointement et solidairement, qui succombent (art. 87 al. 1 LPA). Une indemnité de procédure de CHF 1'000.- sera en outre allouée à Stand-Up, qui y a conclu, à la charge conjointe et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