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ATA/372/2022 vom 5. April 2022</w:t>
      </w:r>
    </w:p>
    <w:p>
      <w:r>
        <w:t>GE Cour de justice, 2022-04-05, FR</w:t>
      </w:r>
    </w:p>
    <w:p>
      <w:r>
        <w:rPr>
          <w:b/>
        </w:rPr>
        <w:t xml:space="preserve">Quelle: </w:t>
      </w:r>
      <w:r>
        <w:t>https://mcp.opencaselaw.ch/entscheid/ge_gerichte_ATA_372_2022</w:t>
      </w:r>
    </w:p>
    <w:p>
      <w:r>
        <w:t>FR: GE_GERICHTE ATA/372/2022 du 5 avril 2022</w:t>
      </w:r>
    </w:p>
    <w:p>
      <w:r>
        <w:t>IT: GE_GERICHTE ATA/372/2022 del 5 aprile 2022</w:t>
      </w:r>
    </w:p>
    <w:p>
      <w:pPr>
        <w:pStyle w:val="Heading2"/>
      </w:pPr>
      <w:r>
        <w:t>Erwägungen</w:t>
      </w:r>
    </w:p>
    <w:p>
      <w:r>
        <w:rPr>
          <w:b/>
        </w:rPr>
        <w:t>E. 12</w:t>
      </w:r>
    </w:p>
    <w:p>
      <w:r>
        <w:t>septembre 1985 - LPA - E 5 10). 2)</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 3)</w:t>
      </w:r>
    </w:p>
    <w:p>
      <w:r>
        <w:t>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(ATA/1301/2020 précité consid. 2b). 4)</w:t>
      </w:r>
    </w:p>
    <w:p>
      <w:r>
        <w:t>En l'espèce, le recourant ne conteste pas le bien-fondé de la demande de remboursement, pas plus que les sommes demandées à titre de remboursement de frais d'hôtel pour les mois de novembre 2016 à mai 2017, tout en rappelant avoir</w:t>
      </w:r>
    </w:p>
    <w:p>
      <w:r>
        <w:t>- 7/9 - A/2497/2021 déjà remboursé la somme de CHF 2'000.-. Le litige porte donc dès lors uniquement sur le montant total dû à l'intimé, et en particulier sur le sort des montants réclamés pour les mois d'août à octobre 2016.</w:t>
      </w:r>
    </w:p>
    <w:p>
      <w:r>
        <w:t>Par ailleurs, bien que la décision attaquée comporte une contradiction entre son dispositif (qui rejette purement et simplement l'opposition), et ses considérants (qui mentionnent un montant dû après recalcul de CHF 17'016.80, et un remboursement partiel de la part du recourant à hauteur de CHF 2'000.- sans en tenir compte), c'est le premier qui sera pris en compte comme objet de la décision attaquée. Le montant réclamé qui en ressort, par le biais de la confirmation intégrale de la décision initiale, est ainsi de CHF 17'123.80. 5)</w:t>
      </w:r>
    </w:p>
    <w:p>
      <w:r>
        <w:t>Le recourant ne prend pas en compte dans ses calculs les montants réclamés par l'intimé pour les mois d'août 2016 (CHF 605.55), septembre 2016 (CHF 1'740.25) et octobre 2016 (CHF 2'256.80). L'on ne parvient toutefois pas à comprendre pourquoi ces sommes devraient être exclues du remboursement.</w:t>
      </w:r>
    </w:p>
    <w:p>
      <w:r>
        <w:t>Elles étaient certes incluses dans la proposition d'arrangement de paiement du 24 mars 2017, qui comprenait les montants dus pour les mois d'octobre 2016 à février 2017. Mais d'une part le recourant ne prétend pas s'être acquitté d'un quelconque des termes de paiement prévus (d'un montant de CHF 100.- chacun), et d'autre part la validité de l'arrangement en question était de toute façon limitée à la période durant laquelle il recevait l'aide financière de l'hospice, qui s'est achevée le 30 avril 2017.</w:t>
      </w:r>
    </w:p>
    <w:p>
      <w:r>
        <w:t>Le recourant ne met pas davantage en cause le calcul des montants y relatifs, tels que figurant dans les annexes à la décision sur réclamation. On doit donc admettre un montant total de frais d'hôtel à rembourser de CHF 17'016.80, dont on doit retirer les deux montants de CHF 1'000.- déjà remboursés en mars et mai 2017, ce qui conduit à un montant de CHF 15'016.80, sous réserve d'éventuels remboursements complémentaires que le recourant aurait effectués depuis le dépôt de son recours. Ce dernier sera dès lors partiellement admis, et la décision attaquée réformée sur ce point.</w:t>
      </w:r>
    </w:p>
    <w:p>
      <w:r>
        <w:t>Les autres éléments soulevés par le recourant, à savoir qu'il doit entretenir sa famille et que l'intimé aurait failli dans son accompagnement en matière de logement, n'ont, quoi qu'il en soit de leur réalité, aucune pertinence en l'espèce. 6)</w:t>
      </w:r>
    </w:p>
    <w:p>
      <w:r>
        <w:t>Vu la nature et l’issue du litige, aucun émolument ne sera perçu (art. 87 al. 1 LPA ; art. 11 du règlement sur les frais, émoluments et indemnités en procédure administrative du 30 juillet 1986 - RFPA - E 5 10.03), ni aucune indemnité de procédure allouée (art. 87 al. 2 LPA).</w:t>
      </w:r>
    </w:p>
    <w:p>
      <w:r>
        <w:t>* * * * *</w:t>
      </w:r>
    </w:p>
    <w:p>
      <w:r>
        <w:t>- 8/9 - A/2497/2021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