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ATA/372/2005 vom 24. Mai 2005</w:t>
      </w:r>
    </w:p>
    <w:p>
      <w:r>
        <w:t>GE Cour de justice, 2005-05-24, FR</w:t>
      </w:r>
    </w:p>
    <w:p>
      <w:r>
        <w:rPr>
          <w:b/>
        </w:rPr>
        <w:t xml:space="preserve">Quelle: </w:t>
      </w:r>
      <w:r>
        <w:t>https://mcp.opencaselaw.ch/entscheid/ge_gerichte_ATA_372_2005</w:t>
      </w:r>
    </w:p>
    <w:p>
      <w:r>
        <w:t>FR: GE_GERICHTE ATA/372/2005 du 24 mai 2005</w:t>
      </w:r>
    </w:p>
    <w:p>
      <w:r>
        <w:t>IT: GE_GERICHTE ATA/372/2005 del 24 maggio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a. La taxe professionnelle communale est une taxe annuelle que les communes du canton de Genève peuvent prélever à certaines conditions auprès des personnes physiques ou morales (art. 301 al. 1 de la loi générale sur les contributions publiques, du 9 novembre 1887 - LCP - D 3 05). Il s'agit d'un véritable impôt et non d'une taxe ou d'une charge de préférence, mais il est distinct de l'impôt sur le chiffre d'affaires (RDAF 1987 p. 363 ; RDAF 1982 p. 408 ; RDAF 1980 p. 104 ; X. OBERSON, Droit fiscal suisse, Bâle 2002, p. 243).</w:t>
      </w:r>
    </w:p>
    <w:p>
      <w:r>
        <w:t>b. Cette taxe se calcule sur la base de coefficients qui s'appliquent aux chiffres annuels des affaires du contribuable, à ses loyers professionnels et à l'effectif de son personnel (art. 302 LCP).</w:t>
      </w:r>
    </w:p>
    <w:p>
      <w:r>
        <w:t>Les coefficients applicables aux loyers et à l'effectif du personnel sont les mêmes pour tous les contribuables, ce qui n'est pas le cas pour le coefficient du chiffre des affaires qui dépend du groupe professionnel dans lequel le contribuable est classé (art. 307A LCP).</w:t>
      </w:r>
    </w:p>
    <w:p>
      <w:r>
        <w:t>Ce dernier coefficient est fixé sur la base de l'intensité de rendement moyen des activités prises en considération.</w:t>
      </w:r>
    </w:p>
    <w:p>
      <w:r>
        <w:t>- 5/8 - A/2407/2004</w:t>
      </w:r>
    </w:p>
    <w:p>
      <w:r>
        <w:t>L'impôt est calculé en fonction de la totalité du chiffre des affaires (marchandises et services) (ATF B. du 22 décembre 1978, consid. 6 in RDAF 1980 p. 112).</w:t>
      </w:r>
    </w:p>
    <w:p>
      <w:r>
        <w:t>c. Les coefficients applicables au chiffre des affaires des différents groupes professionnels sont répertoriés à l'article 12A du règlement d’application de la loi sur les contributions publiques du règlement d’application de diverses dispositions de la loi générale sur les contributions publiques du 30 décembre 1958 (RALCP – D 3 05.04). Le groupe 150 est divisé en deux sous-groupes : A. sociétés de service, bureaux de liaison, 4,5 0/00 et B. sociétés de base, 2,0 0/00.</w:t>
      </w:r>
    </w:p>
    <w:p>
      <w:r>
        <w:rPr>
          <w:b/>
        </w:rPr>
        <w:t>E. 3</w:t>
      </w:r>
    </w:p>
    <w:p>
      <w:r>
        <w:t>a. La communication 1/99 est une ordonnance administrative interprétative visant à uniformiser l'application de la législation dans le but d'éviter les inégalités de traitement. En codifiant la pratique administrative, ce type d'acte institue des présomptions par généralisation, lorsque l'individualisation dans chaque cas entraînerait un travail excessif. Néanmoins, ces ordonnances n'étant pas des règles de droit, le juge devra s'en écarter dès que l'interprétation qu'elles donnent n'est pas conforme à la loi ou à des principes généraux (P. MOOR, Droit administratif, tome I, Berne 1994, p. 271 et les citations).</w:t>
      </w:r>
    </w:p>
    <w:p>
      <w:r>
        <w:t>b. Pour les sociétés dites "de base", soit celles mises au bénéfice du statut fiscal de société auxiliaire par l'AFC (art. 23 LIPM), celles qualifiées de sociétés holdings au sens de l'article 22 de la LIPM et les sociétés de service bénéficiant d'un statut fiscal prévoyant une imposition privilégiée, la communication 1/99 prévoit que le chiffre des affaires en droit commun selon le statut fiscal est taxable au taux du groupe professionnel correspondant mais que, s'agissant du chiffre des affaires exempté ou imposé de manière privilégiée selon le statut fiscal cantonal, sont pris en considération les frais généraux majorés de 5 %. Le chiffre des affaires ne pouvant être pris en compte pour lesdites sociétés se sont les frais généraux qui servent à reconstituer le chiffre des affaires imposable (Revue fiscale, 7/96, p. 341).</w:t>
      </w:r>
    </w:p>
    <w:p>
      <w:r>
        <w:t>c. La substitution de la taxation du chiffre des affaires par celle des frais généraux majorés prévue dans la communication 1/99, comme la création du groupe 150 B, découle de la volonté d'éviter des inégalités de traitement (MGC 1971, p. 3478 ss). Le tribunal de céans a examiné la légalité de cette pratique du service de la TPC et l'a admise en raison de la particularité de l'activité des sociétés de base (ATA/273/2004 du 30 mars 2004 et la jurisprudence citée).</w:t>
      </w:r>
    </w:p>
    <w:p>
      <w:r>
        <w:rPr>
          <w:b/>
        </w:rPr>
        <w:t>E. 4</w:t>
      </w:r>
    </w:p>
    <w:p>
      <w:r>
        <w:t>Il ressort de l’information 7/97, émise par l’AFC à l’attention des associa- tions professionnelles, que les sociétés de services exerçant une activité prépara- toire, déployant principalement leurs activités à l’étranger en faveur de sociétés de la multinationale du groupe auquel elles appartiennent, sont taxées selon les modalités suivantes :</w:t>
      </w:r>
    </w:p>
    <w:p>
      <w:r>
        <w:t>- 6/8 - A/2407/2004</w:t>
      </w:r>
    </w:p>
    <w:p>
      <w:r>
        <w:t>a. Le bénéfice fixé forfaitairement à 5% du coût des dépenses effectuées en Suisse est imposable à 100%, au taux ordinaire ;</w:t>
      </w:r>
    </w:p>
    <w:p>
      <w:r>
        <w:t>b. Le bénéfice fixé forfaitairement à 5% du coût des dépenses effectuées à l’étranger par ou pour du personnel résidant à l’étranger, est imposable à concurrence de 20%, au taux ordinaire ;</w:t>
      </w:r>
    </w:p>
    <w:p>
      <w:r>
        <w:t>c. Le bénéfice fixé forfaitairement à 5% du coût des dépenses effectuées à l’étranger par du personnel résidant en Suisse est imposable pour moitié au taux ordinaire, et pour moitié à concurrence de 20% au taux ordinaire ;</w:t>
      </w:r>
    </w:p>
    <w:p>
      <w:r>
        <w:t>d. La rémunération du personnel résidant en Suisse et employé temporairement à l’étranger est ventilée entre les catégories de dépenses visées sous (a) et (c) en fonction des jours de travail accomplis en Suisse et à l’étranger.</w:t>
      </w:r>
    </w:p>
    <w:p>
      <w:r>
        <w:t>Lorsque le bénéfice brut est supérieur à 105% des dépenses, le bénéfice imposable équivaut au résultat comptable, ventilé par la détermination du taux par catégories de dépenses.</w:t>
      </w:r>
    </w:p>
    <w:p>
      <w:r>
        <w:t>Cette directive précise qu’il est aussi possible d’utiliser une méthode simplifiée, qui est une variante par rapport à celle qui vient d’être décrite. Selon cette méthode, les sociétés précitées peuvent choisir d’être imposées comme suit :</w:t>
      </w:r>
    </w:p>
    <w:p>
      <w:r>
        <w:t>a. 50% de la marge bénéficiaire taxable selon le droit ordinaire ;</w:t>
      </w:r>
    </w:p>
    <w:p>
      <w:r>
        <w:t>b. 50% de la marge bénéficiaire taxable à concurrence de 20% du taux ordinaire.</w:t>
      </w:r>
    </w:p>
    <w:p>
      <w:r>
        <w:t>Il ressort de l’analyse qui précède que l’accord trouvé entre E.__________ et l’AFC l’a été en application de la méthode simplifiée de l’information 7/1997.</w:t>
      </w:r>
    </w:p>
    <w:p>
      <w:r>
        <w:t>Contrairement à ce que soutient la recourante, cela ne signifie pas que l’intégralité de son bénéfice est réalisé à l’étranger. Face au choix qu’elle a fait, au niveau cantonal, d’être taxée selon une méthode simplifiée, le service était en droit de présumer, comme il l’a fait, que cette méthode était représentative de l’activité réelle d’E.__________. Dans la mesure où tel n’était pas le cas, il appartenait à cette société de le démontrer, par les chiffres, ce qu’elle n’a jamais tenté de faire au cours de la procédure.</w:t>
      </w:r>
    </w:p>
    <w:p>
      <w:r>
        <w:rPr>
          <w:b/>
        </w:rPr>
        <w:t>E. 5</w:t>
      </w:r>
    </w:p>
    <w:p>
      <w:r>
        <w:t>Subsidiairement, E.__________ conclut à ce que son activité en Suisse ne soit pas taxée dans le groupe 150A, mais dans le groupe 46 qui concerne les comptables et les fiduciaires, conformément à son but.</w:t>
      </w:r>
    </w:p>
    <w:p>
      <w:r>
        <w:t>Ce faisant, la recourante oublie que l’article 12a alinéa 1 chiffre 150 RALCP prévoit un coefficient applicable au chiffre d’affaires des sociétés de services. L’accord qu’elle a conclu avec l’AFC, en application de l’information</w:t>
      </w:r>
    </w:p>
    <w:p>
      <w:r>
        <w:t>- 7/8 - A/2407/2004 7/1997, démontre qu’elle est une telle société, et qu’elle ne rentre pas dans la catégorie « comptables et fiduciaires ».</w:t>
      </w:r>
    </w:p>
    <w:p>
      <w:r>
        <w:rPr>
          <w:b/>
        </w:rPr>
        <w:t>E. 6</w:t>
      </w:r>
    </w:p>
    <w:p>
      <w:r>
        <w:t>Au vu de ce qui précède, le recours sera rejeté. Un émolument de CHF 2’500.- sera mis à la charge de la recourante,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