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ATA/371/2004 vom 11. Mai 2004</w:t>
      </w:r>
    </w:p>
    <w:p>
      <w:r>
        <w:t>GE Cour de justice, 2004-05-11, FR</w:t>
      </w:r>
    </w:p>
    <w:p>
      <w:r>
        <w:rPr>
          <w:b/>
        </w:rPr>
        <w:t xml:space="preserve">Quelle: </w:t>
      </w:r>
      <w:r>
        <w:t>https://mcp.opencaselaw.ch/entscheid/ge_gerichte_ATA_371_2004</w:t>
      </w:r>
    </w:p>
    <w:p>
      <w:r>
        <w:t>FR: GE_GERICHTE ATA/371/2004 du 11 mai 2004</w:t>
      </w:r>
    </w:p>
    <w:p>
      <w:r>
        <w:t>IT: GE_GERICHTE ATA/371/2004 del 11 maggio 2004</w:t>
      </w:r>
    </w:p>
    <w:p>
      <w:pPr>
        <w:pStyle w:val="Heading2"/>
      </w:pPr>
      <w:r>
        <w:t>Regeste</w:t>
      </w:r>
    </w:p>
    <w:p>
      <w:r>
        <w:t>Résumé: Transformation sans autorisation des sous-sols d'une maison d'habitation, en zone agricole, en salle de physiothérapie. Construction non conforme à la zone. Est exclu l'octroi d'une autorisation exceptionnelle fondée sur l'art. 24c LAT - vu l'ampleur des agrandissements - ou sur l'art. 11 al. 2 LForêts - aucun motif de dérogation n'étant rempli en l'espèce. En particulier, la maladie de l'épouse ne constitue pas un motif valable. Amende de CHF 30'000.- jugée proportionnée, car les travaux n'étaient pas autorisables et en raison de la récidive. Ordre de remise en l'état confirmé par le TA.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et</w:t>
      </w:r>
    </w:p>
    <w:p>
      <w:r>
        <w:rPr>
          <w:b/>
        </w:rPr>
        <w:t>E. 3</w:t>
      </w:r>
    </w:p>
    <w:p>
      <w:r>
        <w:t>ci-dessus). S'agissant du coût des travaux et de celui d'une hypothétique démolition, le tribunal de céans remarque que le recourant n'a versé aucune pièce justificative. Comme il a déjà été exposé (cf. considérant 6 ci-dessus), les violations commises sont graves. En outre, c'est la deuxième fois que le recourant procède à des constructions sans autorisation, ayant déjà commis une</w:t>
      </w:r>
    </w:p>
    <w:p>
      <w:r>
        <w:t>- 20 -</w:t>
      </w:r>
    </w:p>
    <w:p>
      <w:r>
        <w:t>infraction en 1991-1992. Il y a également lieu de prendre en considération que la propriété du recourant a une valeur de classement 2 dans le recensement architectural, qui lui confère une protection particulière. L'intérêt public au respect des normes sur l'aménagement du territoire l'emporte donc sur l'intérêt privé du recourant à maintenir sa construction.</w:t>
      </w:r>
    </w:p>
    <w:p>
      <w:r>
        <w:t>L'ordre de démolition sera confirmé; la maladie de son épouse ne constitue pas un motif suffisant pour s'y opposer.</w:t>
      </w:r>
    </w:p>
    <w:p>
      <w:r>
        <w:rPr>
          <w:b/>
        </w:rPr>
        <w:t>E. 8</w:t>
      </w:r>
    </w:p>
    <w:p>
      <w:r>
        <w:t>Au vu de ce qui précède, le recours sera rejeté.</w:t>
      </w:r>
    </w:p>
    <w:p>
      <w:r>
        <w:t>Un émolument de CHF 3'000.-, comprenant les frais de transport sur place s'élevant à CHF 12.-, sera mis à la charge du recourant (art. 87 al. 1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