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ATA/370/2022 vom 5. April 2022</w:t>
      </w:r>
    </w:p>
    <w:p>
      <w:r>
        <w:t>GE Cour de justice, 2022-04-05, FR</w:t>
      </w:r>
    </w:p>
    <w:p>
      <w:r>
        <w:rPr>
          <w:b/>
        </w:rPr>
        <w:t xml:space="preserve">Quelle: </w:t>
      </w:r>
      <w:r>
        <w:t>https://mcp.opencaselaw.ch/entscheid/ge_gerichte_ATA_370_2022</w:t>
      </w:r>
    </w:p>
    <w:p>
      <w:r>
        <w:t>FR: GE_GERICHTE ATA/370/2022 du 5 avril 2022</w:t>
      </w:r>
    </w:p>
    <w:p>
      <w:r>
        <w:t>IT: GE_GERICHTE ATA/370/2022 del 5 aprile 2022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2017 consid. 2b). Un intérêt purement théorique à la solution d'un problème est de même insuffisant (ATF 144 I 43 consid. 2.1). Le juge est appelé à trancher des cas concrets, et son rôle n’est pas de faire de la doctrine ou de trancher des questions de principe (ATA/293/2016 du 5 avril 2016 consid. 5 ; ATA/1259/2015 du 24 novembre 2015 consid. 2d).</w:t>
      </w:r>
    </w:p>
    <w:p>
      <w:r>
        <w:t>b. Un intérêt digne de protection suppose un intérêt actuel à obtenir l’annulation ou la modification de la décision attaquée (ATF 145 I 227 consid. 5.2 ; arrêt du Tribunal fédéral 2C_865/2019 du 14 avril 2020 consid. 3.2 ; ATA/706/2021 du 6 juillet 2021 ; Thierry TANQUEREL, Manuel de droit administratif, 2ème éd., 2018, p. 459 n. 1367 ; Jacques DUBEY/ Jean-Baptiste ZUFFEREY, Droit administratif général, 2014, p. 734 n. 2084 ; Pierre MOOR/ Etienne POLTIER, Droit administratif, vol. 2, 3ème éd., 2011, p. 748 n. 5.7.2.3).</w:t>
      </w:r>
    </w:p>
    <w:p>
      <w:r>
        <w:t>L’existence d’un intérêt actuel s’apprécie non seulement au moment du dépôt du recours, mais aussi lors du prononcé de la décision sur recours (ATF 145 I 227 consid. 5.2 ; arrêt du Tribunal fédéral 2C_9/2014 du 9 janvier 2014 consid. 4). Lorsqu'une demande en justice ne répond pas à un intérêt digne de protection de son auteur, elle est irrecevable (arrêt du Tribunal fédéral 4A_226/2016 du 20 octobre 2016 consid. 5). Si l’intérêt s’éteint pendant la procédure, le recours, devenu sans objet, doit être simplement radié du rôle (ATF 142 I 135 consid. 1.3.1 ; ATA/610/2021 du 8 juin 2021) ou déclaré irrecevable si l’intérêt actuel faisait déjà défaut au moment du dépôt du recours (ATF 139 I 206 consid. 1.1 ; ATA/791/2021 du 28 juillet 2021). 3)</w:t>
      </w:r>
    </w:p>
    <w:p>
      <w:r>
        <w:t>En l'espèce, la recourante admet à juste titre ne plus avoir d'intérêt actuel au recours en déni de justice déposé, le chien lui ayant été remis après la fin de la quarantaine.</w:t>
      </w:r>
    </w:p>
    <w:p>
      <w:r>
        <w:t>Le recours, devenu sans objet, sera donc rayé du rôle. 4)</w:t>
      </w:r>
    </w:p>
    <w:p>
      <w:r>
        <w:t>La juridiction administrative qui rend la décision statue sur les frais de procédure et émoluments (art. 87 al. 1 LPA). La chambre administrative peut, sur requête, allouer à la partie ayant eu entièrement ou partiellement gain de cause, une indemnité pour les frais indispensables causés par le recours (art. 87 al. 2 LPA) ;</w:t>
      </w:r>
    </w:p>
    <w:p>
      <w:r>
        <w:t>Elle statue sur les frais de procédure, indemnités et émoluments dans les limites établies par règlement du Conseil d'État et conformément au principe de la proportionnalité (art. 87 al. 1 et 3 LPA ; ATA/581/2009 du 10 novembre 2009 et les références citées). Selon la jurisprudence du Tribunal fédéral, les décisions des tribunaux en matière de frais et dépens n'ont pas à être motivées, l'autorité restant</w:t>
      </w:r>
    </w:p>
    <w:p>
      <w:r>
        <w:t>- 6/7 - A/3754/2021 néanmoins liée par le principe général de l'interdiction de l'arbitraire (ATF 114 Ia 332 consid. 2b ; 111 Ia 1).</w:t>
      </w:r>
    </w:p>
    <w:p>
      <w:r>
        <w:t>En l'espèce, la recourante avait également déposé un recours contre la décision dont elle demandait la reconsidération.</w:t>
      </w:r>
    </w:p>
    <w:p>
      <w:r>
        <w:t>Vu l'issue du litige, un émolument de CHF 500.- sera mis à sa charge et aucune indemnité de procédure ne lui sera allouée.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