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ATA/370/2014 vom 20. Mai 2014</w:t>
      </w:r>
    </w:p>
    <w:p>
      <w:r>
        <w:t>GE Cour de justice, 2014-05-20, FR</w:t>
      </w:r>
    </w:p>
    <w:p>
      <w:r>
        <w:rPr>
          <w:b/>
        </w:rPr>
        <w:t xml:space="preserve">Quelle: </w:t>
      </w:r>
      <w:r>
        <w:t>https://mcp.opencaselaw.ch/entscheid/ge_gerichte_ATA_370_2014</w:t>
      </w:r>
    </w:p>
    <w:p>
      <w:r>
        <w:t>FR: GE_GERICHTE ATA/370/2014 du 20 mai 2014</w:t>
      </w:r>
    </w:p>
    <w:p>
      <w:r>
        <w:t>IT: GE_GERICHTE ATA/370/2014 del 20 maggio 2014</w:t>
      </w:r>
    </w:p>
    <w:p>
      <w:pPr>
        <w:pStyle w:val="Heading2"/>
      </w:pPr>
      <w:r>
        <w:t>Erwägungen</w:t>
      </w:r>
    </w:p>
    <w:p>
      <w:r>
        <w:rPr>
          <w:b/>
        </w:rPr>
        <w:t>E. 12</w:t>
      </w:r>
    </w:p>
    <w:p>
      <w:r>
        <w:t>septembre 1985 - LPA - E 5 10).</w:t>
      </w:r>
    </w:p>
    <w:p>
      <w:r>
        <w:t>- 3/5 - A/1468/2013 2)</w:t>
      </w:r>
    </w:p>
    <w:p>
      <w:r>
        <w:t>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w:t>
      </w:r>
    </w:p>
    <w:p>
      <w:r>
        <w:t>La procédure administrative genevoise prévoit que la juridiction saisie invite le recourant à payer une avance de frais destinée à couvrir les frais et émoluments de procédure présumables. À cette fin, elle lui fixe un délai raisonnable (art. 86 al. 1 LPA). Si l’avance de frais n’est pas faite dans le délai imparti, la juridiction déclare le recours irrecevable (art. 86 al. 2 LPA).</w:t>
      </w:r>
    </w:p>
    <w:p>
      <w:r>
        <w:t>Les juridictions administratives disposent ainsi d'une grande liberté d’organiser la mise en pratique de cette disposition. Elles peuvent choisir d’envoyer la demande d’avance de frais d’entrée de cause par pli recommandé (ATA/280/2012 du 8 mai 2012 consid. 2 ; ATA/594/2009 du 17 novembre 2009). 3)</w:t>
      </w:r>
    </w:p>
    <w:p>
      <w:r>
        <w:t>S’agissant d’un acte soumis à réception, telle une communication de procédure, la notification est réputée faite au moment où l’envoi entre dans la sphère de pouvoir de son destinataire (Pierre MOOR/Etienne POLTIER, Droit administratif, Vol. II, 3ème éd., 2011, 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4)</w:t>
      </w:r>
    </w:p>
    <w:p>
      <w:r>
        <w:t>En l'espèce, l’avance de frais n’a pas été versée dans le délai, bien que la demande ait été envoyée par le TAPI par pli recommandé à l'adresse communiquée par le recourant.</w:t>
      </w:r>
    </w:p>
    <w:p>
      <w:r>
        <w:t>Ladite demande a par ailleurs été valablement notifiée, M. A______ n'ayant pas fourni d'éléments ou de preuves permettant d’infirmer la règle jurisprudentielle voulant qu’une décision est notifiée valablement à un administré à l’échéance du délai de garde de sept jours du pli recommandé par La Poste, notamment lorsqu’il sait qu’une procédure à laquelle il est partie est en cours (ATF 127 I 31 consid. 2a ; ATA/156/2013 du 7 mars 2013).</w:t>
      </w:r>
    </w:p>
    <w:p>
      <w:r>
        <w:t>Le TAPI n'a dès lors pas commis de formalisme excessif en déclarant le recours irrecevable.</w:t>
      </w:r>
    </w:p>
    <w:p>
      <w:r>
        <w:t>- 4/5 - A/1468/2013 5)</w:t>
      </w:r>
    </w:p>
    <w:p>
      <w:r>
        <w:t>Mal fondé, le recours sera rejeté. Un émolument de CHF 400.- sera mis à la charge du recourant, qui succombe (art. 87 al. 1 LPA). Aucune indemnité de procédure ne lui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