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ATA/370/2011 vom 7. Juni 2011</w:t>
      </w:r>
    </w:p>
    <w:p>
      <w:r>
        <w:t>GE Cour de justice, 2011-06-07, FR</w:t>
      </w:r>
    </w:p>
    <w:p>
      <w:r>
        <w:rPr>
          <w:b/>
        </w:rPr>
        <w:t xml:space="preserve">Quelle: </w:t>
      </w:r>
      <w:r>
        <w:t>https://mcp.opencaselaw.ch/entscheid/ge_gerichte_ATA_370_2011</w:t>
      </w:r>
    </w:p>
    <w:p>
      <w:r>
        <w:t>FR: GE_GERICHTE ATA/370/2011 du 7 juin 2011</w:t>
      </w:r>
    </w:p>
    <w:p>
      <w:r>
        <w:t>IT: GE_GERICHTE ATA/370/2011 del 7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de ce point de vue (art. 132 de la loi sur l'organisation judiciaire du 26 septembre 2010 (LOJ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En vertu de l'art. 64 al. 1 LPA, le recours est formé par écrit et adressé à la juridiction administrative appelée à en connaître.</w:t>
      </w:r>
    </w:p>
    <w:p>
      <w:r>
        <w:rPr>
          <w:b/>
        </w:rPr>
        <w:t>E. 3</w:t>
      </w:r>
    </w:p>
    <w:p>
      <w:r>
        <w:t>a. A teneur des art. 12 ss de la loi fédérale complétant le Code civil suisse du 30 mars 1911 (Livre cinquième : Droit des obligations - CO - RS 220) et notamment de l'art. 14 al. 1, la forme écrite implique que la signature doit être écrite à la main par celui qui s'oblige.</w:t>
      </w:r>
    </w:p>
    <w:p>
      <w:r>
        <w:t>De jurisprudence constante, la signature olographe originale est une condition nécessaire que doit respecter tout acte pour être considéré comme un recours (ATA/36/2011 du 25 janvier 2011 ; ATA/277/2002 du 28 mai 2002 et références citées).</w:t>
      </w:r>
    </w:p>
    <w:p>
      <w:r>
        <w:t>b. La prohibition du formalisme excessif, garantie procédurale découlant de l’art. 29 de la Constitution fédérale de la Confédération suisse du 18 avril 1999 (Cst. - RS 101) commande cependant à l’autorité de ne pas sanctionner par l’irrecevabilité les vices de procédure aisément reconnaissables auxquels il pourrait être remédié à temps, car signalés utilement au plaideur (ATA/244/2010</w:t>
      </w:r>
    </w:p>
    <w:p>
      <w:r>
        <w:t>- 4/6 - A/1865/2010 du 13 avril 2010 ; ATA/668/2009 du 15 décembre 2009 ; ATA/451/2007 du 4 septembre 2007).</w:t>
      </w:r>
    </w:p>
    <w:p>
      <w:r>
        <w:t>Ainsi, le défaut de signature est cependant un vice réparable, pour autant que la signature soit ajoutée pendant le délai de recours (ATF 125 I 166 ; art. 65 al. 3 LPA ; art. 52 al. 2 de la loi fédérale sur la procédure administrative du 20 décembre 1968 - PA - RS 172.021 ; art. 30 al. 2 de la loi fédérale d'organisation judiciaire du 16 décembre 1943 - OJ - RS 173.110). Cette réglementation tend à éviter tout formalisme excessif en permettant à l’intéressé de réparer une omission.</w:t>
      </w:r>
    </w:p>
    <w:p>
      <w:r>
        <w:t>En l’occurrence, aucun exemplaire de recours comportant une signature originale n’a été remis à la poste ou est parvenu à la chambre administrative dans le délai de recours fixé par la loi, qui venait à échéance le lundi 21 mars 2011. Quant à l’exemplaire posté le 28 mars 2011, il est certes signé mais a été expédié au delà du délai légal de trente jours.</w:t>
      </w:r>
    </w:p>
    <w:p>
      <w:r>
        <w:t>Le courrier adressé par la chancellerie de la chambre administrative le 22 mars 2011 ne modifie en rien cette issue, dès lors que, lors de son expédition, la date à laquelle le jugement du TAPI avait été notifié n’était pas connue.</w:t>
      </w:r>
    </w:p>
    <w:p>
      <w:r>
        <w:t>En conséquence, le recours sera déclaré irrecevable.</w:t>
      </w:r>
    </w:p>
    <w:p>
      <w:r>
        <w:rPr>
          <w:b/>
        </w:rPr>
        <w:t>E. 4</w:t>
      </w:r>
    </w:p>
    <w:p>
      <w:r>
        <w:t>Aucun émolument ne sera mis à la charge de recourant, qui plaide au bénéfice de l’assistance juridique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