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ATA/36/2013 vom 22. Januar 2013</w:t>
      </w:r>
    </w:p>
    <w:p>
      <w:r>
        <w:t>GE Cour de justice, 2013-01-22, FR</w:t>
      </w:r>
    </w:p>
    <w:p>
      <w:r>
        <w:rPr>
          <w:b/>
        </w:rPr>
        <w:t xml:space="preserve">Quelle: </w:t>
      </w:r>
      <w:r>
        <w:t>https://mcp.opencaselaw.ch/entscheid/ge_gerichte_ATA_36_2013</w:t>
      </w:r>
    </w:p>
    <w:p>
      <w:r>
        <w:t>FR: GE_GERICHTE ATA/36/2013 du 22 janvier 2013</w:t>
      </w:r>
    </w:p>
    <w:p>
      <w:r>
        <w:t>IT: GE_GERICHTE ATA/36/2013 del 22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Par deux décisions du 29 mars 2011, l’OCP a refusé de délivrer aux recourantes un permis de séjour pour cas d'extrême gravité et a prononcé leur renvoi du territoire suisse dès le 15 juillet 2011.</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décembre 2005, du 16 juin 1988 - LaLEtr - F 2 10, a contrario).</w:t>
      </w:r>
    </w:p>
    <w:p>
      <w:r>
        <w:rPr>
          <w:b/>
        </w:rPr>
        <w:t>E. 4</w:t>
      </w:r>
    </w:p>
    <w:p>
      <w:r>
        <w:t>Le séjour en Suisse en vue d’y exercer une activité lucrative est soumis à autorisation (art. 11 renvoyant aux art. 18 ss de la loi fédérale sur les étrangers du 16 décembre 2005 - LEtr - RS 142.20). Cette dernière doit être requise auprès du canton de prise d’emploi (art. 11 al. 1 LEtr).</w:t>
      </w:r>
    </w:p>
    <w:p>
      <w:r>
        <w:rPr>
          <w:b/>
        </w:rPr>
        <w:t>E. 5</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- 7/12 - A/1275/2011</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w:t>
      </w:r>
    </w:p>
    <w:p>
      <w:r>
        <w:rPr>
          <w:b/>
        </w:rPr>
        <w:t>E. 9</w:t>
      </w:r>
    </w:p>
    <w:p>
      <w:r>
        <w:t>Mme X______ a vécu au Nicaragua à tout le moins jusqu'à l'âge de 28 ans, et Mme Y______ jusqu'à l'âge de 15 ans. Elles parlent donc toutes deux l'espagnol, et ont encore - surtout Mme X______ - des attaches familiales dans leur pays d'origine, tandis qu'elles n'ont en Suisse que leur sœur et tante.</w:t>
      </w:r>
    </w:p>
    <w:p>
      <w:r>
        <w:t>Mme X______ se dit persuadée de ne pouvoir retrouver un emploi en cas de retour au Nicaragua, tandis que sa fille invoque qu'un retour dans leur pays d'origine l'empêcherait en pratique de suivre la formation commerciale qu'elle envisage vu son coût prohibitif au Nicaragua. Il s'agit toutefois là d'obstacles qui, pour être réels, ne se présenteraient pas moins de la même manière à toute personne de même origine qui rentrerait au pays après un séjour régulier en Suisse.</w:t>
      </w:r>
    </w:p>
    <w:p>
      <w:r>
        <w:rPr>
          <w:b/>
        </w:rPr>
        <w:t>E. 10</w:t>
      </w:r>
    </w:p>
    <w:p>
      <w:r>
        <w:t>Le dossier ne fait enfin état d'aucun problème de santé particulier chez l'une ou l'autre des recourantes.</w:t>
      </w:r>
    </w:p>
    <w:p>
      <w:r>
        <w:rPr>
          <w:b/>
        </w:rPr>
        <w:t>E. 11</w:t>
      </w:r>
    </w:p>
    <w:p>
      <w:r>
        <w:t>L'ensemble des circonstances présentées ci-dessus ne permet dès lors pas de retenir l'existence d'un cas d'extrême gravité, que ce soit pour Mme X______ ou pour Mme Y______.</w:t>
      </w:r>
    </w:p>
    <w:p>
      <w:r>
        <w:t>Il ne ressort par ailleurs du dossier aucun élément permettant de retenir que le renvoi des recourantes serait illicite, impossible ou inexigible.</w:t>
      </w:r>
    </w:p>
    <w:p>
      <w:r>
        <w:rPr>
          <w:b/>
        </w:rPr>
        <w:t>E. 12</w:t>
      </w:r>
    </w:p>
    <w:p>
      <w:r>
        <w:t>Mal fondé, le recours sera rejeté.</w:t>
      </w:r>
    </w:p>
    <w:p>
      <w:r>
        <w:t>Vu la nature du litige, aucun émolument ne sera perçu (art. 87 al. 1 LPA) et aucune indemnité de procédure ne sera allouée (art. 87 al. 2 LPA).</w:t>
      </w:r>
    </w:p>
    <w:p>
      <w:r>
        <w:t>* * * * *</w:t>
      </w:r>
    </w:p>
    <w:p>
      <w:r>
        <w:t>- 10/12 - A/1275/2011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