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ATA/369/2024 vom 12. März 2024</w:t>
      </w:r>
    </w:p>
    <w:p>
      <w:r>
        <w:t>GE Cour de justice, 2024-03-12, FR</w:t>
      </w:r>
    </w:p>
    <w:p>
      <w:r>
        <w:rPr>
          <w:b/>
        </w:rPr>
        <w:t xml:space="preserve">Quelle: </w:t>
      </w:r>
      <w:r>
        <w:t>https://mcp.opencaselaw.ch/entscheid/ge_gerichte_ATA_369_2024</w:t>
      </w:r>
    </w:p>
    <w:p>
      <w:r>
        <w:t>FR: GE_GERICHTE ATA/369/2024 du 12 mars 2024</w:t>
      </w:r>
    </w:p>
    <w:p>
      <w:r>
        <w:t>IT: GE_GERICHTE ATA/369/2024 del 12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la recourante sollicite la suspension de la procédure jusqu’à droit connu sur la plainte pénale déposée par son mari contre D______.</w:t>
      </w:r>
    </w:p>
    <w:p>
      <w:r>
        <w:t>- 4/9 - A/1482/2023</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(ATA/1493/2019 du 8 octobre 2019 consid. 3b et l'arrêt cité).</w:t>
      </w:r>
    </w:p>
    <w:p>
      <w:r>
        <w:rPr>
          <w:b/>
        </w:rPr>
        <w:t>E. 2.2</w:t>
      </w:r>
    </w:p>
    <w:p>
      <w:r>
        <w:t>En l’espèce, la recourante sollicite la suspension de la procédure jusqu’à droit jugé sur la plainte déposée par son mari contre D______. Elle n’apporte toutefois aucune précision relative à l’état de la procédure pénale, d’une part. D’autre part, le sort de sa plainte contre D______ demeurera sans influence sur l’issue du litige, les conditions d’un cas de rigueur n’étant pas remplies, comme cela sera exposé ci- après.</w:t>
      </w:r>
    </w:p>
    <w:p>
      <w:r>
        <w:rPr>
          <w:b/>
        </w:rPr>
        <w:t>E. 3</w:t>
      </w:r>
    </w:p>
    <w:p>
      <w:r>
        <w:t>Le recourant sollicite l’audition de son mari et de D______, reprochant au TAPI de ne pas y avoir procédé.</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 TAPI a estimé que le dossier contenait les éléments suffisants pour statuer en connaissance de cause, de sorte que les auditions requises n’apparaissaient pas utiles. Ces auditions avaient pour but de démontrer que l'époux de la recourante n'avait pas induit en erreur l'OCPM dans le cadre de la procédure d'autorisation. Or, ces considérations n’avaient pas de portée décisive sur l’issue de la présente procédure. En outre, la recourante avait eu la possibilité de faire valoir ses arguments dans son recours et sa réplique et de produire tout moyen de preuve utile et n'expliquait pas quels éléments la procédure écrite l’aurait empêchée d'exprimer de manière pertinente et complète. Ce faisant, le TAPI a procédé à une appréciation anticipée des preuves, qui ne prête pas le flanc à la critique. En effet, la recourante a apporté des pièces au dossier et fourni des explications détaillées tant devant l’OCPM que devant le TAPI et la chambre de céans. Par ailleurs, la condamnation de son mari pour, notamment, faux dans les titres, est entrée en force, de même que le rejet de sa demande d’octroi</w:t>
      </w:r>
    </w:p>
    <w:p>
      <w:r>
        <w:t>- 5/9 - A/1482/2023 d’une autorisation de séjour. Son audition ainsi que celle de D______ ne sont ainsi pas susceptibles d’influer sur l’issue du litige, comme cela sera exposé ci-après. Il ne sera donc pas procédé aux actes d’instruction sollicités et sera retenu que le TAPI n’a pas violé le droit d’être entendu de la recourante en ne procédant pas aux auditions demandées.</w:t>
      </w:r>
    </w:p>
    <w:p>
      <w:r>
        <w:rPr>
          <w:b/>
        </w:rPr>
        <w:t>E. 4</w:t>
      </w:r>
    </w:p>
    <w:p>
      <w:r>
        <w:t>Est litigieux le refus de l’OCPM de retenir l’existence d’un cas de rigueur justifiant l’octroi d’une autorisation de séjour à la recourante et sa fille.</w:t>
      </w:r>
    </w:p>
    <w:p>
      <w:r>
        <w:rPr>
          <w:b/>
        </w:rPr>
        <w:t>E. 4.1</w:t>
      </w:r>
    </w:p>
    <w:p>
      <w:r>
        <w:t>L'art. 30 al. 1 let. b LEI permet de déroger aux conditions d'admission en Suisse, telles que prévues aux art. 18 à 29 LEI, notamment aux fins de tenir compte des cas individuels d'une extrême gravité ou d'intérêts publics majeurs.</w:t>
      </w:r>
    </w:p>
    <w:p>
      <w:r>
        <w:rPr>
          <w:b/>
        </w:rPr>
        <w:t>E. 4.2</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4.4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w:t>
      </w:r>
    </w:p>
    <w:p>
      <w:r>
        <w:t>- 6/9 - A/1482/2023 du Tribunal fédéral 2C_621/2015 du 11 décembre 2015 consid. 5.2.1 ; 2C_369/2010 du 4 novembre 2010 consid. 4.1).</w:t>
      </w:r>
    </w:p>
    <w:p>
      <w:r>
        <w:rPr>
          <w:b/>
        </w:rPr>
        <w:t>E. 4.5</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4.6</w:t>
      </w:r>
    </w:p>
    <w:p>
      <w:r>
        <w:t>L'art. 8 CEDH ouvre le droit à une autorisation de séjour, lorsque l’étranger entretient une relation étroite et effective avec une personne de sa famille ayant le droit de résider durablement en Suisse (ATF 135 I 143 consid. 1.3.1 ; arrêt du Tribunal fédéral 2C_162/2018 du 25 mai 2018 consid. 4.1).</w:t>
      </w:r>
    </w:p>
    <w:p>
      <w:r>
        <w:rPr>
          <w:b/>
        </w:rPr>
        <w:t>E. 4.7</w:t>
      </w:r>
    </w:p>
    <w:p>
      <w:r>
        <w:t>L’examen de la proportionnalité de la mesure, imposé par l’art. 96 LEI, se confond avec celui qui est prévu à l’art. 8 § 2 CEDH (ATF 139 I 31 consid. 2.3.2 ; 139 I 145 consid. 2.2).</w:t>
      </w:r>
    </w:p>
    <w:p>
      <w:r>
        <w:rPr>
          <w:b/>
        </w:rPr>
        <w:t>E. 4.8</w:t>
      </w:r>
    </w:p>
    <w:p>
      <w:r>
        <w:t>En l’espèce, il est manifeste que la recourante et sa fille ne remplissent pas les conditions restrictives permettant d’admettre l’existence d’un cas de rigueur tel exposé ci-dessus. En effet, la recourante ne séjourne pas depuis longtemps en Suisse, ne s’y étant établie qu’en mars 2021, soit il y a trois ans seulement. Certes, elle n’a pas de dettes, n’a pas recouru à l’aide sociale et n’a, à teneur du dossier, pas fait l’objet d’une condamnation pénale. Cela étant, elle reconnaît qu’elle parle peu le français. Elle n’exerce aucune activité professionnelle. Elle ne fait état d’aucun engagement social, sportif ou culturel. Son intégration tant professionnelle que sociale fait ainsi défaut. Partant, un retour dans son pays ne saurait constituer un déracinement. Par ailleurs, elle a vécu au Kosovo jusqu’à l’âge de 27 ans. Elle maîtrise donc la langue et les us et coutumes de son pays. En cas de retour dans son pays, sa réintégration, notamment, sociale ne paraît ainsi pas compromise. Dès lors que son mari devra également quitter la Suisse, elle ne rentrera au Kosovo pas seule avec sa fille, mais accompagnée de son mari, dont elle ne rend pas vraisemblable que le renvoi ne pourrait être exigé. B______, âgée de seulement 2 ans, reste surtout attachée à ses parents, son intégration sociale n’ayant pas encore commencé. Son renvoi dans le pays d’origine de ses parents n’est donc pas susceptible de l’exposer à des difficultés insurmontables. Enfin, le mari de la recourante ne disposant pas d’un droit de séjour en Suisse, celle-ci ne peut se prévaloir de l’art. 8 CEDH pour obtenir une autorisation de séjour liée à la protection de la vie familiale visée par cette disposition. Il appartiendra à l’OCPM de veiller, au moment du renvoi de la famille, à ne pas la séparer.</w:t>
      </w:r>
    </w:p>
    <w:p>
      <w:r>
        <w:t>- 7/9 - A/1482/2023 Au vu de ce qui précède, l’OCPM a retenu sans violer la loi ni commettre d’abus de son pouvoir d’appréciation que la recourante et sa fille ne remplissaient pas les conditions d’un cas de rigueur.</w:t>
      </w:r>
    </w:p>
    <w:p>
      <w:r>
        <w:rPr>
          <w:b/>
        </w:rPr>
        <w:t>E. 5</w:t>
      </w:r>
    </w:p>
    <w:p>
      <w:r>
        <w:t>Il convient encore d’examiner si le renvoi prononcé par l’OCPM est fondé.</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En l'espèce, dès lors qu'il a, à juste titre, refusé l’octroi d’une autorisation de séjour à la recourante et sa fille, l'intimé devait prononcer leur renvoi. La recourante n’invoque aucun élément permettant de retenir que son renvoi ne serait pas possible, licite ou ne pourrait raisonnablement être exigé ; de tels éléments ne ressortent pas non plus du dossier. Mal fondé, le recours sera rejeté.</w:t>
      </w:r>
    </w:p>
    <w:p>
      <w:r>
        <w:rPr>
          <w:b/>
        </w:rPr>
        <w:t>E. 6</w:t>
      </w:r>
    </w:p>
    <w:p>
      <w:r>
        <w:t>Vu l'issue du recours, un émolument de CHF 400.- sera mis à la charge de la recourante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