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ATA/368/2005 vom 24. Mai 2005</w:t>
      </w:r>
    </w:p>
    <w:p>
      <w:r>
        <w:t>GE Cour de justice, 2005-05-24, FR</w:t>
      </w:r>
    </w:p>
    <w:p>
      <w:r>
        <w:rPr>
          <w:b/>
        </w:rPr>
        <w:t xml:space="preserve">Quelle: </w:t>
      </w:r>
      <w:r>
        <w:t>https://mcp.opencaselaw.ch/entscheid/ge_gerichte_ATA_368_2005</w:t>
      </w:r>
    </w:p>
    <w:p>
      <w:r>
        <w:t>FR: GE_GERICHTE ATA/368/2005 du 24 mai 2005</w:t>
      </w:r>
    </w:p>
    <w:p>
      <w:r>
        <w:t>IT: GE_GERICHTE ATA/368/2005 del 24 maggio 2005</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 Selon l’article 1 de la loi sur les constructions et les installations diverses du 14 avril 1988 (LCI - L 5 05), nul ne peut, sans y avoir été autorisé, élever en tout ou en partie une construction ou une installation ou modifier la configuration du terrain.</w:t>
      </w:r>
    </w:p>
    <w:p>
      <w:r>
        <w:t>b. En zone agricole, une autorisation ne peut être délivrée à une personne qui n’est pas agricultrice que si l’emplacement de la construction prévue est imposé par sa destination et qu’elle ne lèse aucun intérêt prépondérant, notamment du point de vue de la protection de la nature et des sites et du maintien de la surface agricole utile pour l’entreprise agricole (art. 24 de la loi fédérale sur l'aména- gement du territoire du 22 juin l979 - LAT - RS 700 ; art. 27 de la loi d'application de la loi fédérale sur l'aménagement du territoire du 4 juin 1987 - LaLAT - L 1 30).</w:t>
      </w:r>
    </w:p>
    <w:p>
      <w:r>
        <w:t>c. L’article 27c LaLAT prévoit que le département peut autoriser la recons- truction de constructions ou installations qui ont été érigées ou transformées conformément au droit matériel en vigueur à l’époque, mais qui sont devenues contraires à l’affectation de la zone à la suite d’une modification de la législation ou des plans d’affectation du sol. De telles autorisations ne peuvent toutefois être délivrées que dans les limites de l’article 24c LAT, qui précise qu’il est indispen- sable que les bâtiments aient été érigés ou transformés légalement et que les exigences majeures de l’aménagement du territoire soient satisfaites.</w:t>
      </w:r>
    </w:p>
    <w:p>
      <w:r>
        <w:t>c. L’article 29 LaLAT prévoit que les rives des eaux publiques ou privées sont des zones à protéger au sens de l’article 17 LAT. L’article 15 de la loi sur les eaux du 5 juillet 1961 (LEaux – L 2 05) interdit d’édifier en sous-sol ou en élévation une construction ou une installation à une distance inférieure à celle fixée dans la carte annexée à la loi, à savoir trente mètres dans le cas d’espèce. L’alinéa 6 de cette disposition prévoit que le département peut autoriser la reconstruction d’une construction ou d’une installation dûment autorisée et non conforme à l’affectation de la zone en application du principe de la garantie de la situation acquise.</w:t>
      </w:r>
    </w:p>
    <w:p>
      <w:r>
        <w:t>- 5/7 - A/2235/2004</w:t>
      </w:r>
    </w:p>
    <w:p>
      <w:r>
        <w:t>d. En dernier lieu, l’article 11 alinéa 1 de la loi sur les forêts du 20 mai 1999 (LForêts - M 5 10) interdit toute implantation de constructions à moins de trente mètres de la lisière de la forêt. Des dérogations peuvent être accordées pour des constructions ou installations d’intérêt général, dont l’emplacement est imposé par leur destination, pour des constructions de peu d’importance contiguës au bâtiment principal ou pour des reconstructions et pour des constructions respectant l’alignement fixé par un plan d’affectation du sol. L’octroi de dérogations est subordonné aux intérêts de la conservation de la forêt et de sa gestion, au bien-être des habitants ainsi qu’à la sécurité de ces derniers et des installations.</w:t>
      </w:r>
    </w:p>
    <w:p>
      <w:r>
        <w:t>e. En l’espèce, le recourant indique qu’un mur, dont la hauteur était certes inférieure à celui aujourd’hui litigieux, existait déjà à cet endroit lorsqu’il avait acquis la parcelle, dix-huit ans plus tôt. Le fait que le mur ait été surélevé suffit à écarter la notion de reconstruction. De plus, même si le nouveau mur avait une hauteur similaire au mur pré-existant, les dispositions rappelées ci-dessus empêcheraient qu’une autorisation soit délivrée.</w:t>
      </w:r>
    </w:p>
    <w:p>
      <w:r>
        <w:t>Dès lors, l’ordre de démolition sera confirmé.</w:t>
      </w:r>
    </w:p>
    <w:p>
      <w:r>
        <w:rPr>
          <w:b/>
        </w:rPr>
        <w:t>E. 3</w:t>
      </w:r>
    </w:p>
    <w:p>
      <w:r>
        <w:t>a. Selon l'article 137 LCI, est passible d'une amende administrative de CHF 100.- à CHF 60'000.- pour une construction non autorisable tout contreve- nant à la LCI.</w:t>
      </w:r>
    </w:p>
    <w:p>
      <w:r>
        <w:t>b. Les amendes administratives sont de nature pénale, car aucun critère ne permet de les distinguer clairement des amendes ordinaires (ATA/813/2001 du 4 décembre 2001 ; P. MOOR, Droit administratif : Les actes et leur contrôle, tome 2, Berne 2002, ch. 1.4.5.5 pp. 139-141 ; P. NOLL et S. TRECHSEL, Schweize- risches Strafrecht : allgemeine Voraussetzungen der Strafbarkeit, AT I, 5ème édi- tion, Zurich 1998, p. 40). C'est dire que la quotité de la peine administrative doit être fixée en tenant compte des principes généraux régissant le droit pénal (ATA/175/2004 du 2 mars 2004 consid. 8 et les références citées). En vertu de l'article 1 alinéa 2 de la loi pénale genevoise du 20 septembre 1941 (LPG - E 4 05), il y a lieu de faire application des dispositions générales contenues dans le Code pénal suisse du 21 décembre 1937 (CPS - RS 311.0), notamment l'article 63 CPS, sous réserve des exceptions prévues par le législateur cantonal à l'article 24 LPG.</w:t>
      </w:r>
    </w:p>
    <w:p>
      <w:r>
        <w:t>c. Il est en effet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 646-648; ATA G. du 20 septembre 1994) et jouit d'un large pouvoir d'appréciation pour infliger une amende (ATA/175/2004 du 2 mars 2004 consid. 8 et les</w:t>
      </w:r>
    </w:p>
    <w:p>
      <w:r>
        <w:t>- 6/7 - A/2235/2004 références citées). La juridiction de céans ne la censure qu'en cas d'excès (ATA/131/1997 du 18 février 1997 consid. 5c).</w:t>
      </w:r>
    </w:p>
    <w:p>
      <w:r>
        <w:t>d. L'amende doit respecter le principe de la proportionnalité (ATA/175/2004 du 2 mars 2004 consid. 8 et les références citées). Il est ainsi tenu compte, dans la fixation du montant de l'amende, du degré de gravité de l'infraction et de la situation de la recourante, par application analogique de l'article 63 CPS.</w:t>
      </w:r>
    </w:p>
    <w:p>
      <w:r>
        <w:t>e. En l’espèce, la faute du recourant est avérée, de sorte que le principe de l’amende est justifié lui aussi.</w:t>
      </w:r>
    </w:p>
    <w:p>
      <w:r>
        <w:t>Quant à la gravité de la faute, elle est incontestable, au vu de la situation du mur, jouxtant directement un ruisseau et la forêt. De plus, le recourant ne peut être considéré comme étant de bonne foi, dans la mesure où il a déjà fait l’objet, en 1989, de procédures pour travaux effectués sans autorisation. Enfin, il s’est vu infliger une amende de CHF 3'000.- pour avoir fait abattre un arbre sans autorisation (ATA/404/1997 du 24 juin 1997).</w:t>
      </w:r>
    </w:p>
    <w:p>
      <w:r>
        <w:t>Compte tenu de ces circonstances, le montant de l’amende fixé par le département, soit CHF 10'000.- est justifié et sera confirmé, ce d’autant que le recourant ne soutient pas que sa situation financière présente des particularités.</w:t>
      </w:r>
    </w:p>
    <w:p>
      <w:r>
        <w:rPr>
          <w:b/>
        </w:rPr>
        <w:t>E. 4</w:t>
      </w:r>
    </w:p>
    <w:p>
      <w:r>
        <w:t>En tous points mal fondé, le recours sera rejeté. Un émolument de CHF 2'000.- sera mis à la charge du recourant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