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ATA/367/2026 vom 15. April 2026</w:t>
      </w:r>
    </w:p>
    <w:p>
      <w:r>
        <w:t>GE Cour de justice, 2026-04-15, FR</w:t>
      </w:r>
    </w:p>
    <w:p>
      <w:r>
        <w:rPr>
          <w:b/>
        </w:rPr>
        <w:t xml:space="preserve">Quelle: </w:t>
      </w:r>
      <w:r>
        <w:t>https://mcp.opencaselaw.ch/entscheid/ge_gerichte_ATA_367_2026</w:t>
      </w:r>
    </w:p>
    <w:p>
      <w:r>
        <w:t>FR: GE_GERICHTE ATA/367/2026 du 15 avril 2026</w:t>
      </w:r>
    </w:p>
    <w:p>
      <w:r>
        <w:t>IT: GE_GERICHTE ATA/367/2026 del 15 aprile 2026</w:t>
      </w:r>
    </w:p>
    <w:p>
      <w:pPr>
        <w:pStyle w:val="Heading2"/>
      </w:pPr>
      <w:r>
        <w:t>Erwägungen</w:t>
      </w:r>
    </w:p>
    <w:p>
      <w:r>
        <w:rPr>
          <w:b/>
        </w:rPr>
        <w:t>E. 1</w:t>
      </w:r>
    </w:p>
    <w:p>
      <w:r>
        <w:t>La chambre administrative examine d’office sa compétence qui est déterminée par la loi et ne peut être créée par accord entre les parties (art. 11 al. 2 cum art. 1 al. 2 et art. 6 al. 1 let. c de la loi sur la procédure administrative du 12 septembre 1985 - LPA - E 5 10 ; ATA/480/2024 du 16 avril 2024 consid. 2).</w:t>
      </w:r>
    </w:p>
    <w:p>
      <w:r>
        <w:rPr>
          <w:b/>
        </w:rPr>
        <w:t>E. 1.1</w:t>
      </w:r>
    </w:p>
    <w:p>
      <w:r>
        <w:t>Celle-ci est réglée par l’art. 132 al. 1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w:t>
      </w:r>
    </w:p>
    <w:p>
      <w:r>
        <w:rPr>
          <w:b/>
        </w:rPr>
        <w:t>E. 1.2</w:t>
      </w:r>
    </w:p>
    <w:p>
      <w:r>
        <w:t>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1.3</w:t>
      </w:r>
    </w:p>
    <w:p>
      <w:r>
        <w:t>Sont considérées comme des décisions au sens de l’art. 4 al.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La notion de décision en droit genevois est calquée sur le droit fédéral (ATA/690/2025 du 24 juin 2025 consid. 1.3 ; ATA/460/2025 du 29 avril 2025 consid. 2.1 ; François BELLANGER, Les aspects formels de la décision in Les grands principes de la procédure administrative, 2023, p. 37).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1C_577/2023 du 4 avril 2024 consid. 2.2).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(ATA/817/2024 du 9 juillet 2024 consid. 3.2 et les arrêts cités). Il ne suffit pas que l’acte ait des effets juridiques, encore faut-il qu’il vise des effets juridiques. De simples déclarations, comme des opinions, des communications, des prises de position, des recommandations et des renseignements n’entrent pas dans la catégorie des décisions, faute de caractère juridique contraignant (arrêts du Tribunal fédéral 2C_39/2025 précité consid. 4.3 ;</w:t>
      </w:r>
    </w:p>
    <w:p>
      <w:r>
        <w:t>- 4/6 - A/514/2026 1C_577/2023 précité consid. 2.2 ; Thierry TANQUEREL/Frédéric BERNARD, Manuel de droit administratif, 3e éd., 2025, n. 666).</w:t>
      </w:r>
    </w:p>
    <w:p>
      <w:r>
        <w:rPr>
          <w:b/>
        </w:rPr>
        <w:t>E. 1.4</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ATA/613/2025 du 3 juin 2025 consid. 4.1).</w:t>
      </w:r>
    </w:p>
    <w:p>
      <w:r>
        <w:rPr>
          <w:b/>
        </w:rPr>
        <w:t>E. 1.4.1</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w:t>
      </w:r>
    </w:p>
    <w:p>
      <w:r>
        <w:rPr>
          <w:b/>
        </w:rPr>
        <w:t>E. 1.4.2</w:t>
      </w:r>
    </w:p>
    <w:p>
      <w:r>
        <w:t>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Un intérêt seulement indirect à l'annulation ou à la modification de la décision attaquée n'est pas suffisant (ATF 138 V 292 consid. 4 ; arrêt du Tribunal fédéral 1C_665/2013 du 24 mars 2014 consid. 3.1).</w:t>
      </w:r>
    </w:p>
    <w:p>
      <w:r>
        <w:rPr>
          <w:b/>
        </w:rPr>
        <w:t>E. 1.5</w:t>
      </w:r>
    </w:p>
    <w:p>
      <w:r>
        <w:t>L’art. 41 de la loi sur l’instruction publique du 17 septembre 2015 (LIP - C 1 10) prévoit que l’exploitation d’une école privée, pour quelque enseignement que ce soit, hormis celui de degré tertiaire relevant des hautes écoles, doit faire l’objet d’une autorisation préalable du département (al. 1). La procédure et les conditions de l’autorisation sont fixées par voie réglementaire (al. 3). Selon le règlement relatif à l’enseignement privé du 10 mai 2023 (REPriv - C 1 10.83), le SASEP agit en tant qu'autorité de surveillance des écoles privées (art. 4). Il peut informer les parents ou les représentants légaux des élèves mineurs, voire le public, des mesures décidées, par les moyens qu’elle juge adéquats et collaborer avec eux afin de trouver une solution pour la poursuite de la scolarité des élèves (art. 22 al. 2 let. e ch. 2 REPriv)</w:t>
      </w:r>
    </w:p>
    <w:p>
      <w:r>
        <w:rPr>
          <w:b/>
        </w:rPr>
        <w:t>E. 1.6</w:t>
      </w:r>
    </w:p>
    <w:p>
      <w:r>
        <w:t>En l’espèce, le courrier du SASEP du 28 janvier 2026 ne constitue pas une décision au sens de l’art. 4 LPA. En effet, ce courrier ne fait qu’informer les parents d’élèves de l’établissement scolaire privé D______ de l’existence d’une décision, à savoir celle rendue à l’encontre dudit établissement ordonnant sa fermeture avec effet au 26 juin 2026 à 18h00. Le courrier n’est ainsi qu’une simple communication relative à cette fermeture. Un tel courrier n’est pas susceptible de recours.</w:t>
      </w:r>
    </w:p>
    <w:p>
      <w:r>
        <w:t>- 5/6 - A/514/2026 Par ailleurs, la fermeture de l’établissement a, certes, un effet sur les parents d’élèves, dont la recourante, ainsi que leurs enfants. Ceux-ci ne sont cependant pas les destinataires de la décision ordonnant cette fermeture. Ils sont liés à l’école en question par un contrat de droit privé ; les droits et obligations de l’école et des parents d’élèves sont ainsi régis par le seul droit privé. Les répercussions pour eux de la décision ordonnant à D______ Sàrl de fermer son établissement ne constituent, partant, qu’une atteinte indirecte aux droits de la recourante. Dans ces circonstances, celle-ci n’a pas la qualité pour agir. Au vu de ce qui précède, le recours sera déclaré irrecevable.</w:t>
      </w:r>
    </w:p>
    <w:p>
      <w:r>
        <w:rPr>
          <w:b/>
        </w:rPr>
        <w:t>E. 2</w:t>
      </w:r>
    </w:p>
    <w:p>
      <w:r>
        <w:t>Vu l’issue du recours, la recourante supportera un émolument de CHF 800.- (incluant la décision rendue sur effet suspensif) et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