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ATA/367/2024 vom 12. März 2024</w:t>
      </w:r>
    </w:p>
    <w:p>
      <w:r>
        <w:t>GE Cour de justice, 2024-03-12, FR</w:t>
      </w:r>
    </w:p>
    <w:p>
      <w:r>
        <w:rPr>
          <w:b/>
        </w:rPr>
        <w:t xml:space="preserve">Quelle: </w:t>
      </w:r>
      <w:r>
        <w:t>https://mcp.opencaselaw.ch/entscheid/ge_gerichte_ATA_367_2024</w:t>
      </w:r>
    </w:p>
    <w:p>
      <w:r>
        <w:t>FR: GE_GERICHTE ATA/367/2024 du 12 mars 2024</w:t>
      </w:r>
    </w:p>
    <w:p>
      <w:r>
        <w:t>IT: GE_GERICHTE ATA/367/2024 del 12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de l’OCPM de reconnaître l’existence d’un cas de rigueur et de préaviser favorablement la demande d’autorisation de séjour des recourants.</w:t>
      </w:r>
    </w:p>
    <w:p>
      <w:r>
        <w:rPr>
          <w:b/>
        </w:rPr>
        <w:t>E. 2.1</w:t>
      </w:r>
    </w:p>
    <w:p>
      <w:r>
        <w:t>Le 1er janvier 2019 est entrée en vigueur une modification de la LEI et de l’OASA. Conformément à l'art. 126 al. 1 LEI, les demandes déposées, comme en l’espèce, après le 1er janvier 2019 sont régies par le nouveau droit.</w:t>
      </w:r>
    </w:p>
    <w:p>
      <w:r>
        <w:rPr>
          <w:b/>
        </w:rPr>
        <w:t>E. 2.2</w:t>
      </w:r>
    </w:p>
    <w:p>
      <w:r>
        <w:t>L'art. 30 al. 1 let. b LEI permet de déroger aux conditions d'admission en Suisse, telles que prévues aux art. 18 à 29 LEI, notamment aux fins de tenir compte des cas individuels d'une extrême gravité ou d'intérêts publics majeurs.</w:t>
      </w:r>
    </w:p>
    <w:p>
      <w:r>
        <w:rPr>
          <w:b/>
        </w:rPr>
        <w:t>E. 2.3</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w:t>
      </w:r>
    </w:p>
    <w:p>
      <w:r>
        <w:t>- 6/11 - A/818/2023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2.5</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2.6</w:t>
      </w:r>
    </w:p>
    <w:p>
      <w:r>
        <w:t>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w:t>
      </w:r>
    </w:p>
    <w:p>
      <w:r>
        <w:rPr>
          <w:b/>
        </w:rPr>
        <w:t>E. 2.7</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2.8</w:t>
      </w:r>
    </w:p>
    <w:p>
      <w:r>
        <w:t>En l’espèce, le recourant séjourne en Suisse depuis dix ans et la recourante ainsi que C______ depuis neuf ans. Cette durée de séjour doit être qualifiée de longue. Elle doit toutefois être relativisée au regard du fait qu’elle a entièrement été effectuée dans l’illégalité. Par ailleurs, l’intégration socio-professionnelle des recourants ne sauraient être qualifiée de remarquable au sens de la jurisprudence. Certes, les recourants ont une certaine maîtrise du français à teneur des attestations produites, ont désormais réglé leurs poursuites, n’ont pas recouru à l’aide sociale et n’ont pas fait l’objet de condamnations pénales.</w:t>
      </w:r>
    </w:p>
    <w:p>
      <w:r>
        <w:t>- 7/11 - A/818/2023 Toutefois, la recourante n’a pas exercé d’activité professionnelle depuis son arrivée en Suisse. Elle soutient désormais apporter à l’entreprise de son compagnon de l’aide dans différentes tâches ; elle ne les précise cependant pas et ne soutient pas non plus percevoir une rémunération pour cette activité. Il ne peut donc être retenu qu’elle serait professionnellement intégrée. Elle n’allègue ni ne rend vraisemblable qu’elle se serait investie d’une quelconque manière dans la vie associative, culturelle ou sportive à Genève. Elle n’allègue pas non plus avoir établi, hormis avec son compagnon et ses enfants, des liens affectifs et amicaux à Genève d’une intensité telle qu’il ne saurait être exigé de sa part de les poursuivre en cas de retour au Kosovo par le biais des moyens de télécommunication moderne. Son intégration socio-professionnelle ne saurait ainsi être considérée comme particulièrement réussie. Bien que son compagnon ait créé sa propre entreprise, son activité professionnelle dans le domaine du bâtiment ne peut être qualifiée d’ascension professionnelle particulièrement remarquable. Il n’apparaît pas non plus que celui-ci ait investi la vie sociale à Genève, l’intéressé ne faisant pas état d’un quelconque engagement associatif, sportif ou culturel à Genève. Il ne soutient pas non plus avoir établi, hormis avec ses enfants et leur mère, des liens affectifs et amicaux à Genève d’une intensité telle qu’il ne saurait être exigé de sa part de les poursuivre en cas de retour au Kosovo par le biais des moyens de télécommunication moderne. Partant, le recourant ne remplit pas non plus le critère d’une intégration socio-professionnelle particulièrement poussée. Comme sa compagne, il a passé son enfance, son adolescence et le début de sa vie d’adulte au Kosovo. Les recourants maîtrisent ainsi la langue de leur pays d’origine et en connaissent les us et coutumes. Les demandes de visas de retour témoignent par ailleurs des liens qu’ils ont conservés avec leur pays. En outre, le recourant pourra mettre à profit son expérience professionnelle et les connaissances linguistiques acquises en Suisse. Ainsi, en cas de retour au Kosovo, ils ne devraient, après une certaine période d’adaptation, pas rencontrer de difficultés insurmontables de réintégration. Comme l’a relevé le TAPI, la situation de C______ est plus délicate. Le jeune homme, arrivé à l’âge de 5 ans, est désormais âgé de 13 ans. Il est ainsi au début de son adolescence, période déterminante pour la formation de la personnalité. Compte tenu de son âge, il a créé à Genève son cercle d’amis et ses liens sociaux. Il est ainsi indéniable que la réintégration du jeune adolescent requerra de sa part un important effort. Cependant, sa situation ne saurait être examinée pour elle seule, mais doit être appréciée au regard de l’ensemble des circonstances l’entourant. Il faut, en particulier, tenir compte du fait qu’en cas de retour au Kosovo, C______ sera accompagné de ses parents et de ses frères. Sa famille nucléaire sera ainsi à ses côtés, étant relevé qu’au vu de l’âge de C______, l’attachement à celle-ci demeure encore important. Par ailleurs, C______ est en bonne santé. Dans ces conditions, sa réintégration n’apparaît pas gravement compromise.</w:t>
      </w:r>
    </w:p>
    <w:p>
      <w:r>
        <w:t>- 8/11 - A/818/2023 E______ et D______, bien que nés à Genève, sont à un âge où l’attachement aux parents demeure prédominant. Ils sont encore loin de l’adolescence, D______ n’ayant pas encore atteint l’âge de 8 ans et E______ ayant 5 ans. Bien qu’ils n’aient jamais vécu au Kosovo, ce pays ne leur est pas étranger, leurs deux parents en étant issus. Compte tenu de leur jeune âge, du fait qu’ils sont en bonne santé et seront entourés de leurs parents, leur intégration au Kosovo ne se heurtera pas à des difficultés insurmontables. Compte tenu de ce qui précède, l’OCPM n’a ni violé la loi ni abusé de son pouvoir d’appréciation en considération que les recourants et leurs enfants ne remplissaient pas les conditions restrictives permettant d’admettre l’existence d’un cas de rigueur.</w:t>
      </w:r>
    </w:p>
    <w:p>
      <w:r>
        <w:rPr>
          <w:b/>
        </w:rPr>
        <w:t>E. 3</w:t>
      </w:r>
    </w:p>
    <w:p>
      <w:r>
        <w:t>Il convient encore d’examiner si le renvoi prononcé par l’OCPM est fondé.</w:t>
      </w:r>
    </w:p>
    <w:p>
      <w:r>
        <w:rPr>
          <w:b/>
        </w:rPr>
        <w:t>E. 3.1</w:t>
      </w:r>
    </w:p>
    <w:p>
      <w:r>
        <w:t>Selon l'art. 64 al. 1 let. c LEI, l'autorité compétente rend une décision de renvoi ordinaire à l'encontre d'un étranger auquel l'autorisation de séjour est refusée ou dont l'autorisation n'est pas prolongée. Le renvoi ne peut être ordonné que si l'exécution de celui-ci est possible, licite ou peut être raisonnablement exigée (art. 83 al. 1 LEI).</w:t>
      </w:r>
    </w:p>
    <w:p>
      <w:r>
        <w:rPr>
          <w:b/>
        </w:rPr>
        <w:t>E. 3.2</w:t>
      </w:r>
    </w:p>
    <w:p>
      <w:r>
        <w:t>En l'espèce, dès lors qu'il a, à juste titre, refusé l’octroi d’une autorisation de séjour aux recourants et leurs enfants, l'intimé devait prononcer leur renvoi. Les recourants n’invoquent aucun élément permettant de retenir que leur renvoi ne serait pas possible, licite ou ne pourrait raisonnablement être exigé ; de tels éléments ne ressortent pas non plus du dossier. Mal fondé, le recours sera rejeté.</w:t>
      </w:r>
    </w:p>
    <w:p>
      <w:r>
        <w:rPr>
          <w:b/>
        </w:rPr>
        <w:t>E. 4</w:t>
      </w:r>
    </w:p>
    <w:p>
      <w:r>
        <w:t>Vu l'issue du recours, un émolument de CHF 400.- sera mis à la charge des recourants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