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ATA/366/2022 vom 5. April 2022</w:t>
      </w:r>
    </w:p>
    <w:p>
      <w:r>
        <w:t>GE Cour de justice, 2022-04-05, FR</w:t>
      </w:r>
    </w:p>
    <w:p>
      <w:r>
        <w:rPr>
          <w:b/>
        </w:rPr>
        <w:t xml:space="preserve">Quelle: </w:t>
      </w:r>
      <w:r>
        <w:t>https://mcp.opencaselaw.ch/entscheid/ge_gerichte_ATA_366_2022</w:t>
      </w:r>
    </w:p>
    <w:p>
      <w:r>
        <w:t>FR: GE_GERICHTE ATA/366/2022 du 5 avril 2022</w:t>
      </w:r>
    </w:p>
    <w:p>
      <w:r>
        <w:t>IT: GE_GERICHTE ATA/366/2022 del 5 aprile 2022</w:t>
      </w:r>
    </w:p>
    <w:p>
      <w:pPr>
        <w:pStyle w:val="Heading2"/>
      </w:pPr>
      <w:r>
        <w:t>Erwägungen</w:t>
      </w:r>
    </w:p>
    <w:p>
      <w:r>
        <w:rPr>
          <w:b/>
        </w:rPr>
        <w:t>E. 05</w:t>
      </w:r>
    </w:p>
    <w:p>
      <w:r>
        <w:t>; art. 62 al. 1 let. a LPA). 2)</w:t>
      </w:r>
    </w:p>
    <w:p>
      <w:r>
        <w:t>La chambre administrative examine d'office la recevabilité d'un recours ou d'une demande portée devant elle (art. 1 al. 2, art. 6 al. 1 let. c et art. 11 al. 2 ; ATA/986/2018 du 25 septembre 2018 consid. 1 et les références citées). 3) a. Le recours à la chambre administrative est ouvert contre les décisions des autorités et juridictions administratives au sens des art. 4, 4A, 5, 6, al. 1 let. a et e, et 57 LPA. Sont réservées les exceptions prévues par la loi (art 132 al. 2 LOJ).</w:t>
      </w:r>
    </w:p>
    <w:p>
      <w:r>
        <w:t>b.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(ATA/907/2020 du 22 septembre 2020 consid. 2b ; ATA/805/2020 du 25 août 2020 consid. 2b et les références citées).</w:t>
      </w:r>
    </w:p>
    <w:p>
      <w:r>
        <w:t>c.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 consid. 1.2.2). Cet intérêt doit être direct et concret (ATF 143 II 506 consid. 5.1). 4) a. Aux termes de l’art. 61 LDFR, celui qui entend acquérir une entreprise ou un immeuble agricole doit obtenir une autorisation (al. 1). L’autorisation est accordée lorsqu’il n’existe aucun motif de refus (al. 2). Sont des acquisitions, le transfert de la propriété, ainsi que tout autre acte juridique équivalant économiquement à un transfert de la propriété (al. 3).</w:t>
      </w:r>
    </w:p>
    <w:p>
      <w:r>
        <w:t>b. La demande d’autorisation est adressée à l’autorité cantonale compétente en matière d’autorisation (art. 83 al. 1 LDFR), désignée par les cantons (art. 90 al. 1 let. a LDFR), soit à Genève la CFA (art. 10 let. b de la loi d'application de la loi fédérale sur le droit foncier rural du 16 décembre 1993 ; LaLDFR - M 1 10).</w:t>
      </w:r>
    </w:p>
    <w:p>
      <w:r>
        <w:t>c. La CFA communique sa décision aux parties contractantes, au conservateur du Registre foncier, à l’autorité cantonale de surveillance, au fermier et aux titulaires du droit d’emption, du droit de préemption ou du droit à l’attribution (art. 83 al. 2 LDFR).</w:t>
      </w:r>
    </w:p>
    <w:p>
      <w:r>
        <w:t>- 5/8 - A/4243/2021 5)</w:t>
      </w:r>
    </w:p>
    <w:p>
      <w:r>
        <w:t>Aux termes de l’art. 681a du Code civil suisse du 10 décembre 1907 (CC - RS 210), le vendeur doit informer les titulaires du droit de préemption – légal – de la conclusion du contrat de vente et de son contenu (al. 1). Si le titulaire entend exercer son droit, il doit l’invoquer dans les trois mois à compter du moment où il a eu connaissance de la conclusion du contrat et de son contenu, mais au plus tard deux ans après l’inscription du nouveau propriétaire au RF (al. 2). Dans ces délais, le titulaire peut invoquer son droit contre tout propriétaire de l’immeuble (al. 3).</w:t>
      </w:r>
    </w:p>
    <w:p>
      <w:r>
        <w:t>S’agissant du droit de préemption conventionnel, le vendeur doit également informer les titulaires du droit de préemption de la conclusion du contrat de vente et de son contenu (art. 216d al.1 de la loi fédérale du 30 mars 1911, complétant le Code civil suisse - CO, Code des obligations - RS 220). Aux termes de l’art. 216e CO, si le titulaire du droit de préemption entend exercer son droit, il doit l’invoquer dans les trois mois à l’encontre du vendeur ou, si le droit est annoté au registre foncier, à l’encontre du propriétaire. Le délai commence à courir le jour où le titulaire a eu connaissance de la conclusion du contrat et de son contenu.</w:t>
      </w:r>
    </w:p>
    <w:p>
      <w:r>
        <w:t>Aussi longtemps qu’un cas de préemption ne s’est pas réalisé, le titulaire du droit de préemption ne jouit, sauf convention contraire, d’aucun droit en relation avec l’immeuble. Le propriétaire continue de pouvoir disposer librement de l’immeuble, en fait comme en droit, et cela même si le droit de préemption est annoté (Paul-Henri STEINAUER, Les droits réels, vol. 2, 2012, 4ème éd., n. 1730 p. 175). Ainsi, ce n’est que si le promettant vend l’immeuble à un tiers (plus précisément : s’il existe un cas de préemption) et que le titulaire du droit exerce effectivement celui-ci (levée de l’option) que le droit de préemption produit ses effets spécifiques (Paul-Henri STEINAUER, op.cit., n. 1729 p. 174).</w:t>
      </w:r>
    </w:p>
    <w:p>
      <w:r>
        <w:t>Sauf convention contraire, pour qu’il y ait cas de préemption, il faut que le promettant ait conclu avec un tiers une vente ou un acte juridique équivalant économiquement à une vente (art. 216c al. 1 CO). Ce qui est déterminant est que la convention vise le transfert de la propriété de l’immeuble contre une prestation pécuniaire, la personne de l’acquéreur n’étant pas essentielle. C’est la conclusion du contrat, non son exécution, qui est décisive. Inversement, des pourparlers de vente ou une simple intention de vendre n’obligent pas le titulaire du droit à prendre parti (Paul-Henri STEINAUER, op. cit., n. 1731 p. 176).</w:t>
      </w:r>
    </w:p>
    <w:p>
      <w:r>
        <w:t>Lorsque l’acte constituant le cas de préemption est soumis à autorisation, le cas de préemption n’est en principe réalisé que lorsque l’autorisation est donnée (Paul-Henri STEINAUER, op.cit., n. 1731d p. 177). 6) a. Les parties contractantes peuvent interjeter un recours devant l’autorité cantonale de recours (art. 88 LDFR) contre le refus d’autorisation, l’autorité cantonale de surveillance, le fermier et les titulaires du droit d’emption, du droit</w:t>
      </w:r>
    </w:p>
    <w:p>
      <w:r>
        <w:t>- 6/8 - A/4243/2021 de préemption ou du droit à l’attribution, contre l’octroi de l’autorisation (art. 83 al. 3 LDFR).</w:t>
      </w:r>
    </w:p>
    <w:p>
      <w:r>
        <w:t>b. Dans l'arrêt ATA/509/2017 du 9 mai 2017, la chambre administrative a déclaré irrecevable le recours formé par l'une des propriétaires de la parcelle agricole en cause, au bénéfice d'un droit de préemption conventionnel inscrit au registre foncier, contre une décision de la CFA autorisant la division de ladite parcelle et la vente de l'une des sous-parcelles à son exploitant à titre personnel.</w:t>
      </w:r>
    </w:p>
    <w:p>
      <w:r>
        <w:t>Cette décision ne constituait qu’une condition préalable à la division et à la vente, ne portant ainsi nullement préjudice au droit de préemption de la recourante. Elle restait en effet libre de l’exercer selon les formes et dans les délais prescrits par l’art. 681a CC et 216e CO. Elle n'avait pas démontré qu’elle avait un besoin de protection dépassant son droit de préemption. Partant, la qualité pour recourir lui a été déniée.</w:t>
      </w:r>
    </w:p>
    <w:p>
      <w:r>
        <w:t>c. Selon la doctrine, lorsque le titulaire du droit d’emption, de préemption ou du droit à l’attribution peut (encore) faire valoir son privilège, il peut s’approprier l’entreprise ou l’immeuble agricole directement et indépendamment de toute procédure d’autorisation et/ou de recours en exerçant son droit ; il n’est pas nécessaire de recourir contre une autorisation d’acquérir accordée à un tiers, cela d’autant moins que, conformément à l’art. 216e CO, respectivement 681a CC, les droits de préemption doivent être exercés dans les trois mois dès que le titulaire a eu connaissance du contrat, cela également après l’octroi de l’autorisation et encore deux ans après l’inscription du nouveau propriétaire au RF (art. 681a CC). Partant de là, il faut, pour avoir la qualité pour recourir, que le titulaire du privilège qui peut encore exercer son droit prouve dans le cas d’espèce un besoin de protection dépassant son droit de s’approprier l’immeuble ou l’entreprise en cause (Beat STALDER, in Le droit foncier rural, commentaire de la LDFR, ad. art. 83 al. 3 n. 15) . 7)</w:t>
      </w:r>
    </w:p>
    <w:p>
      <w:r>
        <w:t>En l’espèce, la décision attaquée ne constitue qu’une condition préalable à la vente de la parcelle concernée que le recourant exploite personnellement, au bénéfice d'un contrat de bail. Elle ne porte ainsi nullement préjudice à son droit de préemption qu'il reste libre d’exercer selon les formes et dans les délais prescrits par l’art. 681a CC, ce qu’il a d’ailleurs fait par courrier recommandé le 2 décembre 2021 auprès du notaire chargé d'instrumenter la vente.</w:t>
      </w:r>
    </w:p>
    <w:p>
      <w:r>
        <w:t>Le recourant n’a pas démontré qu’il avait un besoin de protection dépassant son droit de préemption. Partant, la qualité pour recourir doit lui être déniée.</w:t>
      </w:r>
    </w:p>
    <w:p>
      <w:r>
        <w:t>Le recours sera ainsi déclaré irrecevable.</w:t>
      </w:r>
    </w:p>
    <w:p>
      <w:r>
        <w:t>- 7/8 - A/4243/2021 8)</w:t>
      </w:r>
    </w:p>
    <w:p>
      <w:r>
        <w:t>Vu l'issue du litige, un émolument de CHF 500.- sera mis à la charge du recourant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