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ATA/366/2012 vom 12. Juni 2012</w:t>
      </w:r>
    </w:p>
    <w:p>
      <w:r>
        <w:t>GE Cour de justice, 2012-06-12, FR</w:t>
      </w:r>
    </w:p>
    <w:p>
      <w:r>
        <w:rPr>
          <w:b/>
        </w:rPr>
        <w:t xml:space="preserve">Quelle: </w:t>
      </w:r>
      <w:r>
        <w:t>https://mcp.opencaselaw.ch/entscheid/ge_gerichte_ATA_366_2012</w:t>
      </w:r>
    </w:p>
    <w:p>
      <w:r>
        <w:t>FR: GE_GERICHTE ATA/366/2012 du 12 juin 2012</w:t>
      </w:r>
    </w:p>
    <w:p>
      <w:r>
        <w:t>IT: GE_GERICHTE ATA/366/2012 del 12 giugno 2012</w:t>
      </w:r>
    </w:p>
    <w:p>
      <w:pPr>
        <w:pStyle w:val="Heading2"/>
      </w:pPr>
      <w:r>
        <w:t>Erwägungen</w:t>
      </w:r>
    </w:p>
    <w:p>
      <w:r>
        <w:rPr>
          <w:b/>
        </w:rPr>
        <w:t>E. 1</w:t>
      </w:r>
    </w:p>
    <w:p>
      <w:r>
        <w:t>Interjeté le 4 juin 2012 contre le jugement du TAPI prononcé et communiqué à l’intéressé le 24 mai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5 juin 2012, le délai de dix jours viendra à échéance au plus tôt le vendredi 15 juin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invoque, dans un grief non individualisé mais d'ordre formel et qu'il convient dès lors d'examiner en premier (Arrêt du Tribunal fédéral 2C_166/2012 du 10 mai 2012 consid. 4 et les arrêts cités), la violation de son droit d'être entendu. Il allègue ainsi un défaut de motivation du jugement entrepris au sujet de sa conclusion tendant à une assignation à résidence en lieu et place de sa mise en détention administrative.</w:t>
      </w:r>
    </w:p>
    <w:p>
      <w:r>
        <w:rPr>
          <w:b/>
        </w:rPr>
        <w:t>E. 5</w:t>
      </w:r>
    </w:p>
    <w:p>
      <w:r>
        <w:t>Le droit d’être entendu garanti par l’art. 29 al. 2 de la Constitution fédérale de la Confédération suisse du 18 avril 1999 (Cst. - RS 101) implique l’obligation pour l’autorité de motiver sa décision. Selon la jurisprudence, la motivation d’une décision est suffisante lorsque l’autorité mentionne, au moins brièvement, les</w:t>
      </w:r>
    </w:p>
    <w:p>
      <w:r>
        <w:t>- 6/10 - A/1555/2012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w:t>
      </w:r>
    </w:p>
    <w:p>
      <w:r>
        <w:rPr>
          <w:b/>
        </w:rPr>
        <w:t>E. 6</w:t>
      </w:r>
    </w:p>
    <w:p>
      <w:r>
        <w:t>En l'espèce, s'il ne s'est pas penché dans un considérant spécifique sur la problématique de l'assignation à résidence, le TAPI a pris expressément acte de la conclusion en ce sens (jugement attaqué, consid. 14 en fait, dernier paragraphe), et y a matériellement répondu dans ses considérants en droit (jugement attaqué, consid. 6 in fine), estimant que « si M______ devait être mis en liberté et [sic] voire assigné à résidence, il chercherait vraisemblablement à échapper à la mesure de renvoi prise à son encontre ».</w:t>
      </w:r>
    </w:p>
    <w:p>
      <w:r>
        <w:t>La motivation adoptée permettait donc au recourant de connaître les raisons pour lesquelles sa conclusion tendant à une assignation à résidence avait été écartée.</w:t>
      </w:r>
    </w:p>
    <w:p>
      <w:r>
        <w:t>A titre superfétatoire, il sera relevé qu'en vertu du pouvoir d'examen identique du TAPI et de la chambre de céans (consid. 3 supra), une éventuelle violation du droit d'être entendu aurait quoi qu'il en soit pu être réparée lors de la présente instance.</w:t>
      </w:r>
    </w:p>
    <w:p>
      <w:r>
        <w:t>Le grief doit ainsi être écarté.</w:t>
      </w:r>
    </w:p>
    <w:p>
      <w:r>
        <w:rPr>
          <w:b/>
        </w:rPr>
        <w:t>E. 7</w:t>
      </w:r>
    </w:p>
    <w:p>
      <w:r>
        <w:t>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w:t>
      </w:r>
    </w:p>
    <w:p>
      <w:r>
        <w:rPr>
          <w:b/>
        </w:rPr>
        <w:t>E. 8</w:t>
      </w:r>
    </w:p>
    <w:p>
      <w:r>
        <w:t>L’étranger peut être mis en détention administrative si l’ODM a prononcé une décision de non-entrée en matière au sens de l’art. 32 al. 2 let. a à c ou de l’art. 33 LAsi (art. 76 al. 1 let. b ch. 2 LEtr).</w:t>
      </w:r>
    </w:p>
    <w:p>
      <w:r>
        <w:t>- 7/10 - A/1555/2012</w:t>
      </w:r>
    </w:p>
    <w:p>
      <w:r>
        <w:t>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9</w:t>
      </w:r>
    </w:p>
    <w:p>
      <w:r>
        <w:t>En l’espèce, le recourant fait l’objet d’une décision de non-entrée en matière et de renvoi, qui lui a été dûment notifiée et qui est aujourd'hui exécutoire.</w:t>
      </w:r>
    </w:p>
    <w:p>
      <w:r>
        <w:t>Par ailleurs, tant les déclarations du recourant, qui dit s'opposer à son renvoi en Guinée-Bissau et vouloir soit rester en Suisse, soit rejoindre son amie en Allemagne, que ses actes, soit notamment son entrée dans la clandestinité en mars 2011 suivie d'un séjour de plus d'une année en Allemagne - ce alors qu'il connaissait l'imminence de son renvoi de Suisse, les autorités de migration disposant alors d'un laissez-passer à son nom pour la Guinée-Bissau -, suffisent à démontrer le risque de fuite et le refus d'obtempérer aux injonctions des autorités.</w:t>
      </w:r>
    </w:p>
    <w:p>
      <w:r>
        <w:rPr>
          <w:b/>
        </w:rPr>
        <w:t>E. 10</w:t>
      </w:r>
    </w:p>
    <w:p>
      <w:r>
        <w:t>C'est ainsi à juste titre que le TAPI a admis que les conditions de la mise en détention administrative étaient réalisées, au sens de l'art. 76 al. 1 let. b ch. 2, 3 et 4 LEtr.</w:t>
      </w:r>
    </w:p>
    <w:p>
      <w:r>
        <w:rPr>
          <w:b/>
        </w:rPr>
        <w:t>E. 11</w:t>
      </w:r>
    </w:p>
    <w:p>
      <w:r>
        <w:t>L’autorité administrative doit entreprendre rapidement les démarches permettant l’exécution de la décision de renvoi (art. 76 al. 4 LEtr). La détention administrative doit respecter le principe de la proportionnalité, garanti par l’art. 36 al. 3 Cst.</w:t>
      </w:r>
    </w:p>
    <w:p>
      <w:r>
        <w:t>En l’occurrence, le recourant est maintenu en détention administrative depuis le 22 mai 2012. Les autorités administratives ont entrepris avec célérité les démarches nécessaires à l’exécution du renvoi, se préoccupant de l'obtention d'un laissez-passer avant même le retour en Suisse du recourant. Le principe de célérité a ainsi été respecté.</w:t>
      </w:r>
    </w:p>
    <w:p>
      <w:r>
        <w:t>- 8/10 - A/1555/2012</w:t>
      </w:r>
    </w:p>
    <w:p>
      <w:r>
        <w:t>En outre, eu égard aux déclarations et au comportement du recourant tels que décrits ci-dessus, aucune mesure moins incisive ne permettrait d’assurer la présence de l’intéressé le jour où un vol pourra être organisé. Les déclarations du recourant, selon lesquelles il souhaite retrouver son amie à Brême, ne peuvent que faire redouter un nouveau départ pour l'Allemagne en cas de libération, fût-elle sous conditions. La mesure est donc conforme au principe de la proportionnalité, et la conclusion tendant au prononcé d'une assignation à résidence dans un foyer ne peut qu'être écartée.</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rPr>
          <w:b/>
        </w:rPr>
        <w:t>E. 12</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consid. 5.3).</w:t>
      </w:r>
    </w:p>
    <w:p>
      <w:r>
        <w:rPr>
          <w:b/>
        </w:rPr>
        <w:t>E. 13</w:t>
      </w:r>
    </w:p>
    <w:p>
      <w:r>
        <w:t>En l’espèce, aucun motif d'impossibilité du renvoi n'est allégué, ni ne peut être discerné sur la base du dossier.</w:t>
      </w:r>
    </w:p>
    <w:p>
      <w:r>
        <w:t>Quant à un éventuel droit du recourant d'invoquer, dans un futur proche, le droit au regroupement familial, il ne peut être pris en compte à ce stade. En effet, selon la jurisprudence du Tribunal fédéral, les questions relatives à l'asile ou au</w:t>
      </w:r>
    </w:p>
    <w:p>
      <w:r>
        <w:t>- 9/10 - A/1555/2012 renvoi relèvent des autorités compétentes statuant dans les procédures ad hoc ; ce n'est que si une décision de renvoi apparaît manifestement inadmissible, soit arbitraire ou nulle qu'il est justifié de lever la détention en application de l'art. 80 al. 6 LEtr, car l'exécution d'un tel ordre illicite ne doit pas être assurée par les mesures de contrainte (Arrêt du Tribunal fédéral 2D_66/2011 du 13 décembre 2011 consid. 6.1 et les arrêts cités).</w:t>
      </w:r>
    </w:p>
    <w:p>
      <w:r>
        <w:t>Or en l'espèce, le regroupement familial - qui donnerait le cas échéant au recourant le droit de séjourner en Allemagne - n'est pour l'instant que virtuel, ce qui ne saurait permettre de constater le caractère illicite de la décision de renvoi. De surcroît, le recourant n'a aucunement étayé la réalité de sa relation avec une ressortissante allemande, pas plus que la moindre démarche en vue de mariage.</w:t>
      </w:r>
    </w:p>
    <w:p>
      <w:r>
        <w:t>Dès lors, c'est également à juste titre que le TAPI a retenu que le renvoi du recourant était possible et exigible.</w:t>
      </w:r>
    </w:p>
    <w:p>
      <w:r>
        <w:rPr>
          <w:b/>
        </w:rPr>
        <w:t>E. 14</w:t>
      </w:r>
    </w:p>
    <w:p>
      <w:r>
        <w:t>Le recours sera ainsi rejeté.</w:t>
      </w:r>
    </w:p>
    <w:p>
      <w:r>
        <w:t>Aucun émolument ne sera perçu, la procédure étant gratuite (art. 12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