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ATA/366/2011 vom 7. Juni 2011</w:t>
      </w:r>
    </w:p>
    <w:p>
      <w:r>
        <w:t>GE Cour de justice, 2011-06-07, FR</w:t>
      </w:r>
    </w:p>
    <w:p>
      <w:r>
        <w:rPr>
          <w:b/>
        </w:rPr>
        <w:t xml:space="preserve">Quelle: </w:t>
      </w:r>
      <w:r>
        <w:t>https://mcp.opencaselaw.ch/entscheid/ge_gerichte_ATA_366_2011</w:t>
      </w:r>
    </w:p>
    <w:p>
      <w:r>
        <w:t>FR: GE_GERICHTE ATA/366/2011 du 7 juin 2011</w:t>
      </w:r>
    </w:p>
    <w:p>
      <w:r>
        <w:t>IT: GE_GERICHTE ATA/366/2011 del 7 giugno 2011</w:t>
      </w:r>
    </w:p>
    <w:p>
      <w:pPr>
        <w:pStyle w:val="Heading2"/>
      </w:pPr>
      <w:r>
        <w:t>Erwägungen</w:t>
      </w:r>
    </w:p>
    <w:p>
      <w:r>
        <w:rPr>
          <w:b/>
        </w:rPr>
        <w:t>E. 1</w:t>
      </w:r>
    </w:p>
    <w:p>
      <w:r>
        <w:t>Interjeté devant la juridiction compétente, le recours est recevable de ce point de vue (art. 132 de la loi sur l’organisation judiciaire du 26 septembre 2010 - LOJ - E 2 05).</w:t>
      </w:r>
    </w:p>
    <w:p>
      <w:r>
        <w:rPr>
          <w:b/>
        </w:rPr>
        <w:t>E. 2</w:t>
      </w:r>
    </w:p>
    <w:p>
      <w:r>
        <w:t>a. Le délai de recours est de trente jours lorsqu’il s’agit d’une décision finale (art 62 al. 1 let a LPA ; art. 63 al. 1 let. a LPA dans sa teneur au 31 décembre 2010). Il commence à courir le lendemain de la communication de la décision et lorsque le dernier jour du délai tombe un samedi, un dimanche ou un jour légalement férié, il expire le premier jour utile (art. 17 al. 1 et 3 LPA).</w:t>
      </w:r>
    </w:p>
    <w:p>
      <w:r>
        <w:t>- 3/4 - A/136/2011</w:t>
      </w:r>
    </w:p>
    <w:p>
      <w:r>
        <w:t>b. Les délais de réclamation et de recours fixés par la loi sont des dispositions impératives de droit public. Ils ne sont, en principe, pas susceptibles d’être prolongés (art. 16 al. 1 1ère phr. LPA),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(ATA/316/2011 du 17 mai 2011 et les références citées).</w:t>
      </w:r>
    </w:p>
    <w:p>
      <w:r>
        <w:t>Les cas de force majeure restent réservés (art. 16 al. 1 2ème phr. LPA ; ATA/586/2010 du 31 août 2010 consid. 4 et les références citées).</w:t>
      </w:r>
    </w:p>
    <w:p>
      <w:r>
        <w:t>S’agissant d’un acte soumis à réception, telle une décision ou une communication de procédure, la notification est réputée parfaite au moment où l’envoi entre dans la sphère de pouvoir de son destinataire (P. MOOR, Droit administratif, Vol. 2, 2ème éd., Berne 2002, p. 302/303, n. 2.2.8.3).</w:t>
      </w:r>
    </w:p>
    <w:p>
      <w:r>
        <w:rPr>
          <w:b/>
        </w:rPr>
        <w:t>E. 3</w:t>
      </w:r>
    </w:p>
    <w:p>
      <w:r>
        <w:t>En l’espèce, il est établi que la décision litigieuse a été réceptionnée le 11 mars 2011 par le recourant. Le délai de trente jours venait à échéance le dimanche 10 avril 2011 et reporté de ce fait au premier jour utile soit le 11 avril 2011. Remis à un office La Poste le 21 avril 2011, le recours est tardif, étant précisé que le recourant ne fait état d’aucun cas de force majeure qui l’aurait empêché d’agir en temps utile.</w:t>
      </w:r>
    </w:p>
    <w:p>
      <w:r>
        <w:rPr>
          <w:b/>
        </w:rPr>
        <w:t>E. 4</w:t>
      </w:r>
    </w:p>
    <w:p>
      <w:r>
        <w:t>Au vu de ce qui précède, le recours sera déclaré irrecevable.</w:t>
      </w:r>
    </w:p>
    <w:p>
      <w:r>
        <w:t>Vu l’issue du litige, un émolument de CHF 250.-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