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ATA/366/2005 vom 24. Mai 2005</w:t>
      </w:r>
    </w:p>
    <w:p>
      <w:r>
        <w:t>GE Cour de justice, 2005-05-24, FR</w:t>
      </w:r>
    </w:p>
    <w:p>
      <w:r>
        <w:rPr>
          <w:b/>
        </w:rPr>
        <w:t xml:space="preserve">Quelle: </w:t>
      </w:r>
      <w:r>
        <w:t>https://mcp.opencaselaw.ch/entscheid/ge_gerichte_ATA_366_2005</w:t>
      </w:r>
    </w:p>
    <w:p>
      <w:r>
        <w:t>FR: GE_GERICHTE ATA/366/2005 du 24 mai 2005</w:t>
      </w:r>
    </w:p>
    <w:p>
      <w:r>
        <w:t>IT: GE_GERICHTE ATA/366/2005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w:t>
      </w:r>
    </w:p>
    <w:p>
      <w:r>
        <w:t>- 4/7 - A/2151/2004 LOJ - E 2 05 ; art. 63 al. 1 litt. a de la loi sur la procédure administrative du 12 septembre 1985 - LPA - E 5 10).</w:t>
      </w:r>
    </w:p>
    <w:p>
      <w:r>
        <w:rPr>
          <w:b/>
        </w:rPr>
        <w:t>E. 2</w:t>
      </w:r>
    </w:p>
    <w:p>
      <w:r>
        <w:t>L'impôt sur le bénéfice a pour objet le bénéfice net (art. 11 de la loi sur l'imposition des personnes morales du 23 septembre 1994 - LIPM - D 3 15; art. 57 et 58 LIFD). Selon l'article 12 lettre a LIPM et l'article 58 alinéa 1 lettre a LIFD, le bénéfice net imposable résulte du compte de pertes et profits.</w:t>
      </w:r>
    </w:p>
    <w:p>
      <w:r>
        <w:rPr>
          <w:b/>
        </w:rPr>
        <w:t>E. 3</w:t>
      </w:r>
    </w:p>
    <w:p>
      <w:r>
        <w:t>Parmi les charges qui sont justifiées par l'usage commercial, et à ce titre immédiatement déductibles, figurent les frais généraux. Ces derniers correspon- dent aux dépenses rendues nécessaires par la marche des affaires de la société et qui ne trouvent pas leur contrepartie dans un nouvel élément porté à l'actif du bilan (J.-M. RIVIER, La fiscalité de l'entreprise constituée sous forme de société anonyme, Lausanne 1994, pp. 208-209; X. OBERSON, Droit fiscal suisse, Bâle 2002, p. 184; ATF 115 Ib 117, consid. 5b).</w:t>
      </w:r>
    </w:p>
    <w:p>
      <w:r>
        <w:t>Les amortissements sont également des déductions admises s'ils sont justifiés par l'usage commercial (art. 58 al. 1 let. b et 62 al. 1 LIFD; X. OBSERON, op. cit., pp. 137 et 185).</w:t>
      </w:r>
    </w:p>
    <w:p>
      <w:r>
        <w:rPr>
          <w:b/>
        </w:rPr>
        <w:t>E. 4</w:t>
      </w:r>
    </w:p>
    <w:p>
      <w:r>
        <w:t>L'administration recherche en général d'office les faits déterminants. Mais on reconnaît que son devoir d'investigation n'est pas sans limite, qu'au delà, l'autorité peut s'en tenir aux règles sur la répartition du fardeau de la preuve. En droit fiscal, il appartient à l'autorité fiscale d'établir les faits dont résulte l'obligation de payer une contribution, alors qu'il appartient au contribuable d'établir les faits qui ont pour effet de supprimer ou de réduire cette obligation (notamment ATA/227/2001 du 3 avril 2001).</w:t>
      </w:r>
    </w:p>
    <w:p>
      <w:r>
        <w:rPr>
          <w:b/>
        </w:rPr>
        <w:t>E. 5</w:t>
      </w:r>
    </w:p>
    <w:p>
      <w:r>
        <w:t>La pratique de l’administration qui considère, en cas d’utilisation d’un véhi- cule, deux cinquièmes des frais et amortissements comme la part privée, a déjà été confirmée par le Tribunal administratif (ATA/102/2001 du 13 février 2001). Pour qu’une autre répartition soit admise, l’utilisateur doit fournir un décompte précis du kilométrage effectué à titre professionnel, afin qu’un rapport exact puisse être calculé.</w:t>
      </w:r>
    </w:p>
    <w:p>
      <w:r>
        <w:rPr>
          <w:b/>
        </w:rPr>
        <w:t>E. 6</w:t>
      </w:r>
    </w:p>
    <w:p>
      <w:r>
        <w:t>En l’espèce, la recourante n’a jamais produit de relevés des kilomètres effectués. De plus, les trois véhicules sont immatriculés au nom de M. M.__________, et non à celui de la société. Le tribunal relèvera encore qu’il est assez étonnant de voir une société active dans le domaine de la comptabilité et du conseil juridique soutenir que les heures, non comptabilisées, effectuées par une des associées puissent être compensées par les frais d’essence qu’elle paie à titre privé.</w:t>
      </w:r>
    </w:p>
    <w:p>
      <w:r>
        <w:t>Dès lors, le recours sera rejeté.</w:t>
      </w:r>
    </w:p>
    <w:p>
      <w:r>
        <w:t>- 5/7 - A/2151/2004</w:t>
      </w:r>
    </w:p>
    <w:p>
      <w:r>
        <w:rPr>
          <w:b/>
        </w:rPr>
        <w:t>E. 7</w:t>
      </w:r>
    </w:p>
    <w:p>
      <w:r>
        <w:t>Au vu de cette issue, un émolument de CHF 1’500.-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