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ATA/364/2015 vom 20. April 2015</w:t>
      </w:r>
    </w:p>
    <w:p>
      <w:r>
        <w:t>GE Cour de justice, 2015-04-20, FR</w:t>
      </w:r>
    </w:p>
    <w:p>
      <w:r>
        <w:rPr>
          <w:b/>
        </w:rPr>
        <w:t xml:space="preserve">Quelle: </w:t>
      </w:r>
      <w:r>
        <w:t>https://mcp.opencaselaw.ch/entscheid/ge_gerichte_ATA_364_2015</w:t>
      </w:r>
    </w:p>
    <w:p>
      <w:r>
        <w:t>FR: GE_GERICHTE ATA/364/2015 du 20 avril 2015</w:t>
      </w:r>
    </w:p>
    <w:p>
      <w:r>
        <w:t>IT: GE_GERICHTE ATA/364/2015 del 20 aprile 2015</w:t>
      </w:r>
    </w:p>
    <w:p>
      <w:pPr>
        <w:pStyle w:val="Heading2"/>
      </w:pPr>
      <w:r>
        <w:t>Erwägungen</w:t>
      </w:r>
    </w:p>
    <w:p>
      <w:r>
        <w:rPr>
          <w:b/>
        </w:rPr>
        <w:t>E. 12</w:t>
      </w:r>
    </w:p>
    <w:p>
      <w:r>
        <w:t>septembre 1985 - LPA - E 5 10). 2)</w:t>
      </w:r>
    </w:p>
    <w:p>
      <w:r>
        <w:t>Selon l’art. 10 al. 2 1ère phr. de la loi d'application de la loi fédérale sur les étrangers du 16 juin 1988 (LaLEtr - F 2 10), la chambre administrative doit statuer</w:t>
      </w:r>
    </w:p>
    <w:p>
      <w:r>
        <w:t>- 5/8 - A/1036/2015 dans les dix jours qui suivent sa saisine. Ayant reçu le recours le 10 avril 2015 et statuant ce jour, elle respecte ce délai.</w:t>
      </w:r>
    </w:p>
    <w:p>
      <w:r>
        <w:t>La chambre administrative est en outre compétente pour apprécier l'opportunité des décisions portées devant elle (art. 10 al. 2 2ème phr. LaLEtr). 3)</w:t>
      </w:r>
    </w:p>
    <w:p>
      <w:r>
        <w:t>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4)</w:t>
      </w:r>
    </w:p>
    <w:p>
      <w:r>
        <w:t>L’étranger faisant l’objet d’une décision de renvoi peut être placé en détention administrative en vue de l’exécution de celle-ci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w:t>
      </w:r>
    </w:p>
    <w:p>
      <w:r>
        <w:t>L’existence d’une décision de renvoi est une condition nécessaire à la mise en détention administrative fondée sur les art. 76 à 78 LEtr. Si, ainsi que le relève l’autorité recourante, le contrôle préjudiciel auquel doit procéder la juridiction de recours se limite à l’arbitraire, à la nullité de la décision de renvoi ou encore au cas où ce dernier apparaît manifestement impossible, illicite ou inexigible, cette juridiction dispose d’un plein pouvoir d’examen afin de vérifier qu’une décision de renvoi ait été prononcée et qu’elle déploie ses effets, c’est-à-dire qu’elle n’ait été ni révoquée, ni exécutée. 5.</w:t>
      </w:r>
    </w:p>
    <w:p>
      <w:r>
        <w:t>L’art. 7 al. 1 LEtr prévoit que l’entrée et la sortie de Suisse sont régis par les accords d’association à Schengen énumérés dans l’annexe 1 de la LEtr.</w:t>
      </w:r>
    </w:p>
    <w:p>
      <w:r>
        <w:t>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w:t>
      </w:r>
    </w:p>
    <w:p>
      <w:r>
        <w:t>- 6/8 - A/1036/2015 ressortissant concerné d’un pays tiers décide de retourner volontairement et sur le territoire duquel il sera admis.</w:t>
      </w:r>
    </w:p>
    <w:p>
      <w:r>
        <w:t>En l'espèce, M. A______ ne dispose d'aucun titre de séjour qui lui permettrait de se rendre légalement dans un autre État que son pays d'origine. Il ne soutient en particulier pas disposer d’un droit de séjour en France. Bien au contraire, dès lors qu’il a déposé une demande d’asile, refusée, en Suisse, la confédération helvétique serait obligée de le réadmettre, en vertu des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 AAD - RS 0.142.392.68), s’il devait être interpellé par les autorités françaises dans ce pays.</w:t>
      </w:r>
    </w:p>
    <w:p>
      <w:r>
        <w:t>Dans ces conditions, c’est à tort que le TAPI a considéré que l’intéressé ne faisait plus l’objet d’une décision de renvoi et a procédé à une substitution des motifs de détention administrative. Le recourant fait encore l’objet, de la part du SEM, d’une décision fédérale de renvoi de Suisse, définitive, exécutoire et qui n’a pas été exécutée. La première condition posée par l'art. 76 al. 1 LEtr est ainsi réalisée. 6.</w:t>
      </w:r>
    </w:p>
    <w:p>
      <w:r>
        <w:t>Il ressort du dossier que, suite à la décision du SEM précitée, le recourant n'a entrepris aucune démarche en vue d’obtempérer à l’ordre de retourner dans son pays d’origine, seule solution dont il dispose pour quitter définitivement la Suisse. Il a concrétisé son opposition en ne communiquant pas, pendant des années, sa véritable identité. Il a, de la sorte, manqué au devoir de collaboration que lui impose l'art. 90 let. a et c LEtr. Il a en outre par la suite régulièrement démontré sa volonté de ne pas vouloir quitter la Suisse.</w:t>
      </w:r>
    </w:p>
    <w:p>
      <w:r>
        <w:t>Ces éléments, pris ensemble, font craindre que le recourant, s'il pouvait disposer de sa liberté de mouvement, disparaisse à nouveau dans la clandestinité et puisse ainsi se soustraire aux mesures d’exécution de la décision de renvoi prise à son encontre. Le risque de fuite justifiant une détention administrative est ainsi avéré, ainsi que l’officier de police, à juste titre, l’a retenu dans sa décision initiale.</w:t>
      </w:r>
    </w:p>
    <w:p>
      <w:r>
        <w:t>Dans ces circonstances, la détention administrative est fondée. 7.</w:t>
      </w:r>
    </w:p>
    <w:p>
      <w:r>
        <w:t>Les démarches nécessaires à l'exécution du renvoi ou de l'expulsion doivent être entreprises sans tarder (art. 76 al. 4 LEtr). Tel est le cas en l’espèce, au vu des pièces produites concernant la réservation d’une place dans un avion à destination de l’Algérie.</w:t>
      </w:r>
    </w:p>
    <w:p>
      <w:r>
        <w:t>Le principe de célérité est ainsi respecté.</w:t>
      </w:r>
    </w:p>
    <w:p>
      <w:r>
        <w:t>- 7/8 - A/1036/2015 8.</w:t>
      </w:r>
    </w:p>
    <w:p>
      <w:r>
        <w:t>La détention en vue de renvoi ne peut excéder six mois au total (art. 79 al. 1 LEtr) et elle doit respecter le principe de la proportionnalité, garanti par l’art. 36 al. 3 Cst.. Elle est susceptible de prolongation pour une durée pouvant aller jusqu’à dix-huit mois au total (art. 79 al. 2 LEtr).</w:t>
      </w:r>
    </w:p>
    <w:p>
      <w:r>
        <w:t>Ordonnée le 28 mars 2015 pour une durée de cent-vingt jours, la détention administrative du recourant respecte le cadre fixé. Elle est au surplus conforme au principe de la proportionnalité car aucune autre mesure n'apparaît propre à permettre l'exécution du renvoi de l'intéressé. 9.</w:t>
      </w:r>
    </w:p>
    <w:p>
      <w:r>
        <w:t>Au vu des considérants qui précèdent, le recours de l’officier de police sera admis et sa décision initiale sera confirmée tant dans son principe que dans sa durée - cent vingt jours - et sa motivation.</w:t>
      </w:r>
    </w:p>
    <w:p>
      <w:r>
        <w:t>Vu la nature du litige, il ne sera pas perçu d’émolument (art. 87 al. 1 LPA et art. 12 al. 1 du règlement sur les frais, émoluments et indemnités en procédure administrative du 30 juillet 1986 - RFPA - E 5 10.03). De même, vu l’issue du litige, aucune indemnité de procédure ne sera allouée à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