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ATA/364/2007 vom 31. Juli 2007</w:t>
      </w:r>
    </w:p>
    <w:p>
      <w:r>
        <w:t>GE Cour de justice, 2007-07-31, FR</w:t>
      </w:r>
    </w:p>
    <w:p>
      <w:r>
        <w:rPr>
          <w:b/>
        </w:rPr>
        <w:t xml:space="preserve">Quelle: </w:t>
      </w:r>
      <w:r>
        <w:t>https://mcp.opencaselaw.ch/entscheid/ge_gerichte_ATA_364_2007</w:t>
      </w:r>
    </w:p>
    <w:p>
      <w:r>
        <w:t>FR: GE_GERICHTE ATA/364/2007 du 31 juillet 2007</w:t>
      </w:r>
    </w:p>
    <w:p>
      <w:r>
        <w:t>IT: GE_GERICHTE ATA/364/2007 del 31 luglio 2007</w:t>
      </w:r>
    </w:p>
    <w:p>
      <w:pPr>
        <w:pStyle w:val="Heading2"/>
      </w:pPr>
      <w:r>
        <w:t>Regeste</w:t>
      </w:r>
    </w:p>
    <w:p>
      <w:r>
        <w:t>Résumé: Avocats. Épreuve écrite. L'évaluation des résultats d'examens entre tout particulièrement dans la sphère des décisions pour lesquelles l'administration ou les examinateurs disposent d'un très large pouvoir d'appréciation et ne peut donc faire l'objet que d'un contrôle judiciaire limité. Lorsque la décision porte sur le résultat d'un examen et que l'appréciation des experts est contestée, l'autorité satisfait aux exigences de l'article 29 alinéa 2 Cst. si elle indique au candidat, de façon même succincte, les défauts qui entachent ses réponses et la solution qui était attendue de lui et qui eût été tenue pour correcte. Par ailleurs, si le droit cantonal n'en dispose pas autrement, la Constitution n'exige pas que la motivation soit fournie par écrit ; selon les circonstances, elle peut être orale. De même, l'article 29 alinéa 2 Cst. ne permet pas à un candidat d'exiger des corrigés-types et des barèmes. Ni la LPAV, ni le règlement sur la profession d'avocat ne mentionnent de règle sur la manière de corriger les épreuves. Il n'y a notamment pas d'obligation pour les trois examinateurs de la sous-commission de tenir un procès-verbal ou de justifier sous une forme particulière de leurs appréciations. L'attribution effective de la note de l'épreuve est une décision collégiale élaborée par la sous-commission puis validée par la commission et les notes personnelles de chacun de ses membres doivent être considérées comm des documents internes soustraits à la consultation.</w:t>
      </w:r>
    </w:p>
    <w:p>
      <w:pPr>
        <w:pStyle w:val="Heading2"/>
      </w:pPr>
      <w:r>
        <w:t>Erwägungen</w:t>
      </w:r>
    </w:p>
    <w:p>
      <w:r>
        <w:rPr>
          <w:b/>
        </w:rPr>
        <w:t>E. 9</w:t>
      </w:r>
    </w:p>
    <w:p>
      <w:r>
        <w:t>Le 1er juin 2007 également, la commission a conclu au rejet du recours et persisté dans ses conclusions du 21 février 2007.</w:t>
      </w:r>
    </w:p>
    <w:p>
      <w:r>
        <w:t>Le recourant n'avait pas démontré en quoi il serait arbitraire de considérer comme erroné au regard de l'énoncé de fonder la demande exclusivement sur le licenciement abusif d'un représentant élu des travailleurs.</w:t>
      </w:r>
    </w:p>
    <w:p>
      <w:r>
        <w:t>L'énoncé indiquant clairement que l'employeur avait demandé à son employé de se "porter volontaire pour siéger au sein du conseil". Il n'était pas fait mention d'élection au sens de l'article 51 alinéas 3 et 4 LPP ou d'une quelconque approbation tacite par les autres salariés.</w:t>
      </w:r>
    </w:p>
    <w:p>
      <w:r>
        <w:t>- 7/12 - A/31/2007</w:t>
      </w:r>
    </w:p>
    <w:p>
      <w:r>
        <w:t>Le recourant n'avait d'ailleurs pas mentionné dans l'état de fait qu'une élection était intervenue ou que l'intéressé avait été désigné par ses collègues.</w:t>
      </w:r>
    </w:p>
    <w:p>
      <w:r>
        <w:t>A l'exception de trois candidats, dont le recourant, les 83 autres avaient évoqué le licenciement collectif dans leur demande au tribunal des prud'hommes.</w:t>
      </w:r>
    </w:p>
    <w:p>
      <w:r>
        <w:t>Tant la note de correction que les propos de M. Maugué lors de l'audience du 26 avril 2007 étaient clairs : même si le barème ne prévoyait pas l'attribution d'une fraction de point aux candidats qui n'avaient fondé la demande que sur le licenciement abusif d'un représentant élu, la sous-commission avait octroyé un bonus, de 1,5 point au plus, en fonction de la qualité du raisonnement. Elle ne saurait dès lors se voir reprocher de s'être écartée du barème initial.</w:t>
      </w:r>
    </w:p>
    <w:p>
      <w:r>
        <w:t>Elle s'opposait à la production des notes manuscrites des correcteurs, lesquelles restaient en possession de ceux-ci et leur étaient strictement personnelles. Référence était faite à un récent arrêt du Tribunal fédéral (2P.205/2006 du 19 décembre 2006). La note de correction était détaillée et explicite et il n'existait aucune obligation pour les membres de la sous- commission de remplir un procès-verbal formel pour chaque épreuve.</w:t>
      </w:r>
    </w:p>
    <w:p>
      <w:r>
        <w:rPr>
          <w:b/>
        </w:rPr>
        <w:t>E. 10</w:t>
      </w:r>
    </w:p>
    <w:p>
      <w:r>
        <w:t>Le 5 juin 2007, les parties ont été informées que la cause était gardée à juger.</w:t>
      </w:r>
    </w:p>
    <w:p>
      <w:r>
        <w:t>EN DROIT 1.</w:t>
      </w:r>
    </w:p>
    <w:p>
      <w:r>
        <w:t>Interjeté en temps utile devant la juridiction compétente, le recours est recevable (art. 56A de la loi sur l'organisation judiciaire du 22 novembre 1941 - LOJ - E 2 05 ; art. 63 al. 1 litt. a LPA; art. 50 de la loi sur la profession d'avocat du 26 avril 2002 - LPAV - E 6 10). 2.</w:t>
      </w:r>
    </w:p>
    <w:p>
      <w:r>
        <w:t>Le recours porte sur l'examen écrit présenté par le recourant pour l'obtention du brevet d'avocat. 3. a. La commission d'examens se subdivise en sous-commissions de deux membres pour apprécier les épreuves orales de l'examen final et de trois membres pour en apprécier l'épreuve écrite (art. 18 al. 3 RLPAV).</w:t>
      </w:r>
    </w:p>
    <w:p>
      <w:r>
        <w:t>b. L'organisation de la commission et les modalités d'examens de fin de stage sont fixées par le règlement d'application (art. 32 al. 3 LPAV). L'article 21 RLPAV donne compétence à la commission de fixer les modalités de l'examen.</w:t>
      </w:r>
    </w:p>
    <w:p>
      <w:r>
        <w:t>Le 1er septembre 2006, la commission a adopté de nouvelles directives relatives au stage d'avocat et à l'obtention du brevet d'avocat (ci-après : directives). Celles-ci précisent que l'examen final "n'a pas pour unique objet de</w:t>
      </w:r>
    </w:p>
    <w:p>
      <w:r>
        <w:t>- 8/12 - A/31/2007 tester les connaissances théoriques des candidats, mais aussi et surtout leurs compétences professionnelles en matière de pratique du barreau. Dans leurs réponses écrites ou orales, les candidats sont donc invités à se placer dans la situation où ils se trouveraient s'ils intervenaient dans une cause réelle." Il est attendu du candidat "qu'il montre avoir compris et maîtriser l'état de fait; qu'il repère les problèmes et les traduise en termes juridiques; qu'il identifie les moyens d'action appropriés; qu'il sache utiliser ces moyens d'action; qu'il soit capable de développer une argumentation; qu'il manie avec aisance les sources du droit et qu'il soit toujours capable de fonder en droit les solutions qu'il propose; que, dans toutes ses démarches, il garde présent à l'esprit les intérêts qu'il est chargé de défendre". S'agissant du matériel à disposition, outre certaines lois annotées, les directives précisent que "la commission détermine librement les autres textes mis à disposition des candidats".</w:t>
      </w:r>
    </w:p>
    <w:p>
      <w:r>
        <w:t>La commission est composée de spécialistes expérimentés. Une moitié de la commission est constituée d'avocats inscrits au registre cantonal genevois (art. 12 al. 1, 14 et 17 al. 3 LPAV). 4.</w:t>
      </w:r>
    </w:p>
    <w:p>
      <w:r>
        <w:t>Le recours en matière d'examen final pour l'obtention du brevet d'avocat peut être formé pour motif d'illégalité ou d'arbitraire (art. 31 al. 2 RLPAV).</w:t>
      </w:r>
    </w:p>
    <w:p>
      <w:r>
        <w:t>a. Une décision est arbitraire lorsqu’elle viole gravement une norme ou un principe juridique indiscuté ou lorsqu’elle heurte de manière choquante le sentiment de la justice et de l’équité. A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128 I 177 consid. 2.1 p. 182 ; Arrêt du Tribunal fédéral 4P.149/2000 du 2 avril 2001, consid. 2 et les arrêts cités).</w:t>
      </w:r>
    </w:p>
    <w:p>
      <w:r>
        <w:t>b. Appelé à examiner le caractère arbitraire d’une décision, le Tribunal administratif suit le raisonnement du Tribunal fédéral en la matière.</w:t>
      </w:r>
    </w:p>
    <w:p>
      <w:r>
        <w:t>Le Tribunal fédéral ne revoit l'évaluation des résultats d'un examen qu'avec une retenue particulière, parce qu'une telle évaluation repose non seulement sur des connaissances spécifiques mais également sur une composante subjective propre aux experts ou examinateurs ainsi que sur une comparaison des candidats. En principe, il n'annule donc le prononcé attaqué que si l'autorité intimée s'est laissée guider par des motifs sans rapport avec l'examen ou, d'une autre manière manifestement insoutenable (ATF 121 I 225 consid. 4d p. 230 ; ATF 118 Ia 488 consid. 4c p. 495).</w:t>
      </w:r>
    </w:p>
    <w:p>
      <w:r>
        <w:t>- 9/12 - A/31/2007</w:t>
      </w:r>
    </w:p>
    <w:p>
      <w:r>
        <w:t>Le Tribunal fédéral s'impose cette retenue même lorsqu'il possède les connaissances spécifiques requises qui lui permettraient de procéder à un examen plus approfondi de la question, comme c'est le cas en matière d'examens d'avocats ou de notaires (ATF 131 I 467 consid. 3.1 ; 121 I 225 consid. 4a p. 230 ; 118 IA 488 consid. 4a p. 495).</w:t>
      </w:r>
    </w:p>
    <w:p>
      <w:r>
        <w:t>c. Conformément à cette jurisprudence du Tribunal fédéral, le tribunal de céans a considéré que l'évaluation des résultats d'examens entre tout particulièrement dans la sphère des décisions pour lesquelles l'administration ou les examinateurs disposent d'un très large pouvoir d'appréciation et ne peut donc faire l'objet que d'un contrôle judiciaire limité (ATA/343/2006 du 20 juin 2006; ATA/785/2005 du 22 novembre 2005 et les références citées). 5.</w:t>
      </w:r>
    </w:p>
    <w:p>
      <w:r>
        <w:t>Le recourant conclut préalablement à ce que le tribunal ordonne à la commission de produire les notes de corrections personnelles des membres de la sous-commission ayant corrigé son épreuve écrite. Il n'indique pas en quoi ces documents permettraient d'étayer ses arguments.</w:t>
      </w:r>
    </w:p>
    <w:p>
      <w:r>
        <w:t>Aux dires de la commission, ces documents ne sont pas versés dans les dossiers des candidats, ils représentent des documents de travail personnels, utilisés lors de la séance au cours de laquelle la sous-commission attribue une note à chaque copie. Une note de correction, synthétisant les explications des différents examinateurs a été établie après le dépôt du recours, pour les besoins de l'instruction de la cause.</w:t>
      </w:r>
    </w:p>
    <w:p>
      <w:r>
        <w:t>a. Tel qu’il est garanti par l’article 29 alinéa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Le droit de faire administrer des preuves n'empêche cependant pas le juge de renoncer à l'administration de certaines preuves offertes et de procéder à une appréciation anticipée de ces dernières, en particulier s'il acquiert la certitude que celles-ci ne pourraient l'amener à modifier son opinion ou si le fait à établir résulte déjà des constatations ressortant du dossier (Arrêts du Tribunal fédéral 2P.200/2003 du 7 octobre 2003, consid. 3.1 ; 2P.77/2003 du 9 juillet 2003 consid. 2.1 et les arrêts cités ; ATA/172/2004 du 2 mars 2004 ; ATA/39/2004 du 13 janvier 2004 consid. 2). Le droit d’être entendu ne contient pas non plus d’obligation de discuter tous les griefs et moyens de preuve du recourant ; il suffit que le juge discute ceux qui lui paraissent pertinents (Arrêts du Tribunal fédéral 1P.32/2004 du 12 février 2004 consid. 6 ; 1P.24/2001 du 30 janvier 2001 consid. 3a et les arrêts cités ; ATA/292/2004 du 6 avril 2004).</w:t>
      </w:r>
    </w:p>
    <w:p>
      <w:r>
        <w:t>- 10/12 - A/31/2007</w:t>
      </w:r>
    </w:p>
    <w:p>
      <w:r>
        <w:t>b. Ce droit implique également l’obligation pour l’autorité de motiver ses décisions, afin que le justiciable puisse les comprendre et exercer ses droits de recours à bon escient. Il suffit cependant, selon la jurisprudence, que l’autorité mentionne, au moins brièvement, les motifs qui l’ont guidée et sur lesquels elle a fondé sa décision, de manière à ce que l’intéressé puisse se rendre compte de la portée de celle-ci et l’attaquer en connaissance de cause (Arrêts du Tribunal fédéral 1P.729/2003 du 25 mars 2004 consid. 2 ; 1P.531/2002 du 27 mars 2003 consid. 2.1 et les arrêts cités ; ATA/560/2000 du 14 septembre 2000). Conformément à ces principes, lorsque la décision porte sur le résultat d’un examen et que l’appréciation des experts est contestée, l’autorité satisfait aux exigences de l’article 29 alinéa 2 Cst. si elle indique au candidat, de façon même succincte, les défauts qui entachent ses réponses et la solution qui était attendue de lui et qui eût été tenue pour correcte.</w:t>
      </w:r>
    </w:p>
    <w:p>
      <w:r>
        <w:t>Par ailleurs, si le droit cantonal n’en dispose pas autrement, la Constitution n’exige pas que la motivation soit fournie par écrit ; selon les circonstances, elle peut être orale. De même, l’article 29 alinéa 2 Cst. ne permet pas à un candidat d’exiger des corrigés-types et des barèmes (SJ 1994 161 consid. 1b p. 163; ATA/56/2002 du 29 janvier 2002). Le Tribunal fédéral a confirmé, s'agissant toutefois d'examens oraux, que le système mis en place dans le canton de Genève dans lequel il n'y avait pas d'exigence de produire les aide-mémoire relatifs aux différents candidats respectait le droit d'être entendu (Arrêt du Tribunal fédéral 2P. 205/2006 du 19 décembre 2006 consid. 2.3).</w:t>
      </w:r>
    </w:p>
    <w:p>
      <w:r>
        <w:t>c. Ni la LPAV, ni le règlement sur la profession d'avocat ne mentionnent de règle sur la manière de corriger les épreuves. Il n'y a notamment pas d'obligation pour les trois examinateurs de la sous-commission de tenir un procès-verbal ou de justifier sous une forme particulière de leurs appréciations.</w:t>
      </w:r>
    </w:p>
    <w:p>
      <w:r>
        <w:t>En l'espèce, le recourant a assisté à la séance de correction organisée par la commission. Il a ainsi eu l'occasion de prendre connaissance des exigences de la commission et du barème appliqué. Il a pu s'exprimer par écrit en cours de procédure à ce sujet et par la suite au sujet de la note de correction détaillée établie par la sous-commission. Les parties ont pu donc s'exprimer par écrit conformément à l'article 18 LPA.</w:t>
      </w:r>
    </w:p>
    <w:p>
      <w:r>
        <w:t>L'attribution effective de la note de l'épreuve est une décision collégiale élaborée par la sous-commission puis validée par la commission et les notes personnelles de chacun de ses membres doivent être considérées comme des documents internes soustraits à la consultation. En conséquence, le Tribunal administratif renoncera à exiger la production des notes de correction personnelles des examinateurs.</w:t>
      </w:r>
    </w:p>
    <w:p>
      <w:r>
        <w:t>- 11/12 - A/31/2007 6.</w:t>
      </w:r>
    </w:p>
    <w:p>
      <w:r>
        <w:t>Le recours porte sur l'évaluation faite par la commission de l'épreuve écrite du recourant, ce dernier ayant opté pour la solution qu'il estime être la meilleure et juridiquement exacte.</w:t>
      </w:r>
    </w:p>
    <w:p>
      <w:r>
        <w:t>En l'espèce, le recourant ne relève aucun vice de procédure quant au déroulement de l'examen écrit. Il tire argument d'une contradiction entre les déclarations faites lors de la séance de correction publique et les points de bonus finalement attribués. Cette "contradiction" n'est pas pertinente, car si la commission a estimé que le raisonnement tenu par le recourant et certains autres candidats pouvait être admis dans certaines circonstances bien précises, non réalisées en l'espèce, l'attribution de points de bonus, même non mentionnée lors de la séance de correction, n'est pas susceptible de prétériter le recourant.</w:t>
      </w:r>
    </w:p>
    <w:p>
      <w:r>
        <w:t>La note de correction produite par la commission permet d'établir qu'une évaluation précise de l'examen du recourant a été faite et cela sur toutes les questions soulevées par l'état de fait soumis aux candidats. Elle relève clairement les lacunes qui peuvent être reprochées au recourant. En outre, celui-ci ne prouve pas que la solution juridique qu'il a choisie était correcte, il se contente de l'affirmer. L'argumentation de l'intimée est quant à elle étayée et confortée par la note de correction.</w:t>
      </w:r>
    </w:p>
    <w:p>
      <w:r>
        <w:t>Le tribunal de céans retiendra donc que les examinateurs ont fixé leur note en fonction de la prestation du recourant. Rien n'indique qu'ils se seraient laissé guider par des considérations sans rapport avec l'examen ou avec l'évaluation des réponses fournies.</w:t>
      </w:r>
    </w:p>
    <w:p>
      <w:r>
        <w:t>En conséquence, l'appréciation des prestations du recourant lors de l'épreuve écrite n'est pas arbitraire. De plus, le tribunal de céans ne peut substituer son appréciation à celle de la commission, car il ne dispose pas du même pouvoir d'examen qu'elle. 7.</w:t>
      </w:r>
    </w:p>
    <w:p>
      <w:r>
        <w:t>En tous points mal fondé, le recours sera rejeté et un émolument de CHF 500.- sera mis à la charge du recourant, qui succombe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