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ATA/363/2012 vom 12. Juni 2012</w:t>
      </w:r>
    </w:p>
    <w:p>
      <w:r>
        <w:t>GE Cour de justice, 2012-06-12, FR</w:t>
      </w:r>
    </w:p>
    <w:p>
      <w:r>
        <w:rPr>
          <w:b/>
        </w:rPr>
        <w:t xml:space="preserve">Quelle: </w:t>
      </w:r>
      <w:r>
        <w:t>https://mcp.opencaselaw.ch/entscheid/ge_gerichte_ATA_363_2012</w:t>
      </w:r>
    </w:p>
    <w:p>
      <w:r>
        <w:t>FR: GE_GERICHTE ATA/363/2012 du 12 juin 2012</w:t>
      </w:r>
    </w:p>
    <w:p>
      <w:r>
        <w:t>IT: GE_GERICHTE ATA/363/2012 del 12 giugno 2012</w:t>
      </w:r>
    </w:p>
    <w:p>
      <w:pPr>
        <w:pStyle w:val="Heading2"/>
      </w:pPr>
      <w:r>
        <w:t>Regeste</w:t>
      </w:r>
    </w:p>
    <w:p>
      <w:r>
        <w:t>Résumé: L'aménagement d'une zone de livraison dans un entrepôt existant situé en zone de développement industriel est conforme à ladite zone. Le fait que la marchandise soit directement retirée à l'entrepôt par le client ne modifie pas l'affectation de l'entrepôt (activité de stockage). Deux installations situées à plus de 1 km de distance ne constituent pas une installation unique faute de lien spatial étroit entre elles et ne doivent dès lors pas faire l'objet d'une étude d'impact sur l'environnement unique. L'obligation d'établir une étude d'impact sur l'environnement requiert un lien fonctionnel et un lien spatial étroit (conditions cumulatives). L'autorisation par procédure accélérée est confirmée. L'augmentation de la charge de trafic est négligeable au vu de la zone industrielle considérée et ne constitue ni une gêne durable, ni un inconvénient grave.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De plus, en tant que voisine du projet litigieux, Rampini a la qualité pour recourir contre l’autorisation de construire litigieuse (art. 60 al. 1 let. a et b LPA).</w:t>
      </w:r>
    </w:p>
    <w:p>
      <w:r>
        <w:rPr>
          <w:b/>
        </w:rPr>
        <w:t>E. 2</w:t>
      </w:r>
    </w:p>
    <w:p>
      <w:r>
        <w:t>La recourante sollicite préalablement un transport sur place.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w:t>
      </w:r>
    </w:p>
    <w:p>
      <w:r>
        <w:t>- 9/19 - A/3878/2010 p. 56 ; 127 III 576 consid. 2c p. 578 ; Arrêt du Tribunal fédéral 1C_424/2009 du</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En l’espèce, la chambre administrative dispose de tous les éléments nécessaires pour statuer en connaissance de cause. Il n’est ainsi pas utile de procéder à d’autres mesures d’instruction. 3. La recourante invoque une violation de l’art. 19 al. 4 LaLAT, dans la mesure où les marchandises stockées au premier étage de l’entrepôt existant ne sont pas ensuite transportées dans des magasins de vente de détail pour y être vendues.</w:t>
      </w:r>
    </w:p>
    <w:p>
      <w:r>
        <w:t>a. Conformément à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 / P. HÄNNI, Raumplanungsgesetz. Bundesgesetz vom 22. Juni 1979 über die Raumplanung (RPG), Berne 2006, p. 520 ; P. ZEN-RUFFINEN / C. GUY-ECABERT, Aménagement du territoire, construction, expropriation, Berne 2001, pp. 207 et 211). La conformité à l’affectation de la zone implique que la fonction de la construction ou installation concorde avec celle de la zone ; il ne suffit pas qu’elle ne soit pas contraire à la destination de la zone (DFJP/OFAT, Etude relative à la loi fédérale sur l’aménagement du territoire, 1981, p. 274 n. 29). L’utilisation de la construction ou installation est pertinente pour juger de la conformité à l’affectation de la zone, en particulier si elle est connue au moment de l’octroi de l’autorisation (ATA/518/2010 du 3 août 2010, consid. 3).</w:t>
      </w:r>
    </w:p>
    <w:p>
      <w:r>
        <w:t>b. L’art. 19 al. 4 LaLAT prévoit que les zones industrielles et artisanales sont destinées aux constructions industrielles, artisanales et ferroviaires. Selon l’art. 30 LaLAT, les zones de développement sont régies, selon leur affectation, par la loi générale sur les zones de développement, du 29 juin 1957, et par la loi générale sur les zones de développement industriel du 13 décembre 1984 (LGZDI - L 1</w:t>
      </w:r>
    </w:p>
    <w:p>
      <w:r>
        <w:t>- 10/19 - A/3878/2010 45). La LGZDI a pour but de fixer les conditions applicables à l’aménagement et à l’occupation rationnelle des zones de développement industriel (art. 1 LGZDI). Elle permet l’établissement d’un plan directeur (art. 2 LGZDI) et d’un règlement directeur, qui fixe notamment les conditions particulières relatives à la destination des terrains, des constructions et des installations (art. 3 let. c LGZDI). Selon l’art. 4 al. 1 du règlement directeur, les terrains situés dans le périmètre de cette zone sont destinés à des constructions affectées à des activités industrielles, artisanales, de distribution en gros et entreposage de matériels ou marchandises sous abri ou en locaux fermés.</w:t>
      </w:r>
    </w:p>
    <w:p>
      <w:r>
        <w:t>Lors des débats parlementaires relatifs à l’art. 19 al. 4 LaLAT, le législateur genevois n'a volontairement pas défini dans la loi la notion de « construction industrielle » vu la difficulté de classer certaines activités économiques. Il laisse sur cette question une grande marge d’appréciation aux autorités compétentes, en particulier à l’ancien département des travaux publics et à l’ancienne Fondation des terrains industriels Praille et Acacias qui est devenue la FTI (Mémorial du Grand Conseil, p. 4278 ss). La problématique des dépôts et entrepôts a été soulevée. Dans la mesure où ils ne contribuent pas à la production ou à la transformation d’un bien, ils ne devraient théoriquement pas se situer en zone industrielle. Toutefois, le fait de leur existence exige qu’on les place à un endroit et la zone industrielle apparaît appropriée bien qu’ils ne répondent pas à sa définition stricte (Mémorial du Grand Conseil, p. 4279).</w:t>
      </w:r>
    </w:p>
    <w:p>
      <w:r>
        <w:t>c. Selon les jurisprudences genevoise, neuchâteloise et vaudoise, il convient de se référer au sens large et commun de la notion de « construction industrielle » lorsqu’elle n’est pas définie dans la loi (ATA /518/2010 du 3 août 2010 ; RDAF I 1999, p. 369 ; RDAF 1983, p. 190). Une notion large et commune de l’industrie ne se limite pas au travail et à la transformation de la matière mais s’étend à l’ensemble des opérations qui concourent à la production et à la circulation des richesses (ATA /518/2010 du 3 août 2010, consid. 5 ; RDAF I 1999, p. 369). Tenant compte des inconvénients possibles pour l’habitat et l’harmonie de la localité que présente une construction industrielle, la jurisprudence vaudoise a englobé dans cette notion des installations renfermant des activités économiques très diverses, telles que le lavage automatique pour voitures (RDAF 1975 p. 139), une piste d’exercice pour véhicules d’une auto-école avec un bâtiment à usage de dépôt, hangar, atelier-forge, salle de pratique, salle de théorie et buvette (RDAF 1972 p. 220) et une piste de karting avec un atelier de mécanique et une buvette dans une halle existante (RDAF 1999 p. 367 ss).</w:t>
      </w:r>
    </w:p>
    <w:p>
      <w:r>
        <w:t>Dans le canton de Genève, la chambre de céans a estimé, dans une affaire récente, que les activités d’une société active dans la fabrication, la distribution et la commercialisation de produits finis et semi-finis répondaient à la définition d’industrie si elles étaient en lien avec le développement et la distribution des produits qu’elle commercialisait, même si la fabrication de ces produits ne se</w:t>
      </w:r>
    </w:p>
    <w:p>
      <w:r>
        <w:t>- 11/19 - A/3878/2010 faisait pas au même endroit (ATA/518/2010 du 3 août 2010, consid. 5). Dans le cas d’espèce, ces activités consistaient en l’organisation du développement industriel de tous les produits commercialisés par la société ainsi qu’en la coordination et la planification de la production industrielle des produits pour différentes régions du globe, qui comprenait l’approvisionnement en matières premières. Ces activités impliquaient notamment des études du marché et du comportement des consommateurs, des études en laboratoire virtuel, la présentation des produits en magasins virtuels et la simulation de ventes de produits (ATA/518/2010 du 3 août 2010, partie en fait, n° 32). Concernant la part d’activité administrative, la chambre de céans a précisé que, dans la mesure où elle servait de support à la commercialisation des produits, elle restait en lien avec la vocation industrielle de la société et entrait dans la définition d’industrie (ATA/518/2010 du 3 août 2010, consid. 5).</w:t>
      </w:r>
    </w:p>
    <w:p>
      <w:r>
        <w:t>En l’espèce, l’objet litigieux est l’aménagement d’une zone de livraison au premier étage d’un entrepôt existant situé en zone de développement industriel, et non le déploiement de l’activité commerciale d’Ikea, société principalement active dans la vente de meubles. Cet aménagement ne vise pas à modifier l’affectation première de l’entrepôt, qui demeure le stockage de marchandises. S’il est vrai que la remise de la marchandise à l’acheteur s’effectue en général au lieu de son achat, il n’en demeure pas moins que celle-ci doit quitter l’entrepôt. La manière dont la marchandise sort de l’entrepôt ne modifie pas sa fonction première, qui consiste à garder la marchandise jusqu’à son départ. En règle générale, cette sortie est le fait de l’entreprise. Dans le cas d’espèce, la modalité de sortie de la marchandise est, sous réserve des livraisons à domicile, différente du cas général, dans la mesure où c’est l’acheteur qui accepte de se déplacer à l’entrepôt et d’en sortir la marchandise. Dans les deux cas, la marchandise quitte son lieu de stockage, sans que son mode de sortie n’affecte l’activité de stockage. Il n’y a donc pas de raison de distinguer l’activité de stockage de l’opération de sortie de la marchandise. En effet, la seconde fait partie inhérente de la première. De plus, il n’y a dans le cas d’espèce ni exposition ni achat de marchandises dans l’entrepôt. D’ailleurs, de telles activités sont exclues par la clause 2.1 du contrat de location du 25 octobre 2010, qui limite l’usage de l’entrepôt à des espaces de stockage. Dès lors, comme les modalités de sortie de la marchandise de l’entrepôt ne modifient pas son affectation, elles ne sont pas déterminantes pour juger de la conformité du projet litigieux à l’affectation de la zone.</w:t>
      </w:r>
    </w:p>
    <w:p>
      <w:r>
        <w:t>Quant à l’activité de stockage, il n’est pas contesté qu’elle est conforme à l’affectation de la zone industrielle, bien qu’elle ne contribue pas à la production ou à la transformation d’un bien. Tant les travaux préparatoires relatifs à l’art. 19 al. 4 LaLAT que l’art. 4 du règlement directeur admettent ce type d’activité en zone industrielle. Par ailleurs, l’aménagement d’une zone de livraison dans un entrepôt stockant des marchandises n’apparaît pas choquant au regard de la diversité des activités économiques jugées conformes à la zone industrielle par la</w:t>
      </w:r>
    </w:p>
    <w:p>
      <w:r>
        <w:t>- 12/19 - A/3878/2010 jurisprudence précitée. En outre, le projet litigieux bénéficie des préavis favorables de la commune, de la FTI et de la DGAT. Au vu de ces éléments, le grief de la recourante ne peut qu’être écarté. 4. La recourante estime qu’un lien fonctionnel existe entre le magasin et l’entrepôt, de sorte qu’une étude d’impact sur l’environnement est nécessaire.</w:t>
      </w:r>
    </w:p>
    <w:p>
      <w:r>
        <w:t>a. Avant de prendre une décision sur la planification et la construction ou la modification d’installations, l’autorité examine le plus tôt possible leur compatibilité avec les dispositions en matière d’environnement (art. 10a al. 1 de la loi fédérale sur la protection de l’environnement du 7 octobre 1983 - LPE - RS 814.01). Doivent faire l’objet d’une étude de l’impact sur l’environnement (ci- après : l’étude d’impact ou EIE) les installations susceptibles d’affecter 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étude d’impact ; il peut fixer des valeurs-seuil. Il vérifie périodiquement les types d’installations et les valeurs- seuil, et les adapte le cas échéant (art. 10a al. 3 LPE).</w:t>
      </w:r>
    </w:p>
    <w:p>
      <w:r>
        <w:t>L’art. 1 de l’ordonnance relative à l’étude de l’impact sur l’environnement du 19 octobre 1988 (OEIE - RS 814.011) dispose que les installations mentionnées dans son annexe sont soumises à une EIE au sens de l’art. 10a LPE. En particulier, sont mentionnées dans ladite annexe les parcs de stationnement pour plus de 500 voitures (ch. 11.4), les centres commerciaux et les magasins spécialisés d’une surface de vente supérieure à 7’500 m2 (ch. 80.5) ainsi que les places de transbordement de marchandises et centres de distribution disposant d’une surface de stockage des marchandises supérieure à 20’000 m2 ou d’un volume de stockage supérieur à 120’000 m3 (ch. 80.6).</w:t>
      </w:r>
    </w:p>
    <w:p>
      <w:r>
        <w:t>b. Selon le Tribunal fédéral, des ouvrages distincts doivent être considérés comme des éléments d’une installation unique, et donc assujettis à l’EIE s’ils atteignent ensemble le seuil déterminant, lorsqu’il existe entre eux un lien fonctionnel et spatial étroit (Arrêt du Tribunal fédéral du 20 août 1997 publié in DEP 1998 p. 145 consid. 5c.aa p. 147 ; arrêt du Tribunal fédéral du 25 juin 1997 publié in RDAF I 1998 p. 98 consid. 3 ; cf. également ATA/22/2009 du 13 janvier 2009 consid. 7). De plus, la réalisation de ces éléments doit être prévue de manière concomitante et coordonnée (Arrêt du Tribunal fédéral du 20 août 1997 précité p. 145 consid. 5c.aa p. 148).</w:t>
      </w:r>
    </w:p>
    <w:p>
      <w:r>
        <w:t>En particulier, le Tribunal fédéral admet le lien fonctionnel entre différentes installations situées sur des biens-fonds voisins lorsqu’elles sont complémentaires, bien qu’elles soient exploitées de manière indépendante (Arrêt du Tribunal fédéral 1A.129/2005 du 23 août 2005 consid. 3.2). Se fondant sur l’art. 8 LPE, il s'est prononcé, dans cette affaire, sur l’étendue d’une EIE en distinguant deux</w:t>
      </w:r>
    </w:p>
    <w:p>
      <w:r>
        <w:t>- 13/19 - A/3878/2010 situations. D’une part, un ouvrage qui ne doit pas faire l’objet d’une EIE, doit être pris en compte dans l’EIE d’un autre ouvrage soumis à une EIE, lorsqu’il existe un lien fonctionnel et spatial étroit entre les deux ouvrages. D’autre part, les différentes parties d’un même projet, qui ne sont pas réalisées en même temps, doivent toutefois être incluses dans la même EIE si elles se réalisent dans des étapes se succédant de manière relativement rapide. En effet, l’art. 8 LPE englobe, selon le Tribunal fédéral, l’ensemble des projets ayant un impact sur l’environnement, indépendamment de leur soumission à une EIE (Arrêt du Tribunal fédéral 1A.129/2005 du 23 août 2005 consid. 3.1). Quant aux liens temporel et spatial, ils sont admis sans soulever de problème particulier.</w:t>
      </w:r>
    </w:p>
    <w:p>
      <w:r>
        <w:t>Dans une affaire suivante, le Tribunal fédéral a précisé la condition du lien fonctionnel tout en relevant la réalisation de celle du lien spatial étroit (Arrêt du Tribunal fédéral 1A.110/2006 du 19 avril 2007 consid. 2.6 et consid. 2.7). Cette affaire soulève notamment la question de savoir s’il faut additionner le nombre de places de parc de plusieurs ouvrages distincts situés sur un ensemble de parcelles se jouxtant. Le Tribunal fédéral souligne que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 différents, il ne doit pas de prime abord être qualifié d’installation unique (Arrêt 1A.110/2006 précité consid. 2.7.1). Il faut dans ce cas non seulement une unité d’exploitation mais aussi une planification simultanée ainsi qu’une organisation ou un objectif communs entre les différents maîtres d’ouvrage pour reconnaître le lien fonctionnel (Arrêt 1A.110/2006 précité consid. 2.6).</w:t>
      </w:r>
    </w:p>
    <w:p>
      <w:r>
        <w:t>Il ressort ainsi de la jurisprudence que l’obligation d’établir une EIE unique pour les différentes parties d’un même projet, qui isolément ne sont pas soumises à une EIE, est subordonnée à la réalisation de deux conditions. D’une part, ces différentes parties atteignent ensemble les valeurs-seuil fixées dans l’OEIE. D’autre part, il existe entre celles-ci non seulement un lien fonctionnel, mais également un lien spatial étroit, de sorte qu’elles forment une installation unique. Ces deux liens sont donc cumulatifs et non alternatifs. Le lien spatial implique une contiguïté des parcelles lorsque la question a trait à l’obligation d’établir une EIE. Le champ spatial peut par contre être étendu lorsqu’il s’agit d’analyser, dans le rapport d’impact, les effets sur l’environnement d’un projet, dont l’assujettissement à une EIE a été préalablement établi (art. 8 LPE et art. 9 al. 3 OEIE). Dans ce dernier cas, la jurisprudence prend en compte les effets globaux du projet, soit en particulier les émissions résultant d’une utilisation conforme de l’installation dans la région environnante (Arrêt du Tribunal fédéral 1A.125/2005 du 21 septembre 2005, consid. 8.1). Cette hypothèse ne concerne cependant pas la problématique soulevée dans notre cas d’espèce, qui porte sur l’obligation d’établir une EIE.</w:t>
      </w:r>
    </w:p>
    <w:p>
      <w:r>
        <w:t>- 14/19 - A/3878/2010</w:t>
      </w:r>
    </w:p>
    <w:p>
      <w:r>
        <w:t>c. Selon la doctrine, le lien fonctionnel et le lien spatial étroit sont également cumulatifs (A. GRIFFEL / H. RAUSCH, Kommentar zum Umweltschutzgesetz, Ergänzungsband zur 2. Auflage, 2011, art. 10a n. 21 ; B. WAGNER PFEIFER, Umweltrecht I, 2009, n. 682s). Comme GRIFFEL et RAUSCH le relèvent à juste titre, l’obligation d’établir une EIE se distingue de la question portant sur l’étendue de l’EIE, même si elles dépendent toutes les deux de l’existence d’un lien fonctionnel et spatial étroit. Ils soulignent que les exigences pour admettre un lien fonctionnel sont moins élevées lorsque la problématique concerne l’étendue d’une EIE que lorsqu’elle porte sur l’obligation de soumettre un projet à une EIE (A. GRIFFEL / H. RAUSCH, Kommentar zum Umweltschutzgesetz, Ergänzungsband zur 2. Auflage, 2011, Art. 10a N. 23s).</w:t>
      </w:r>
    </w:p>
    <w:p>
      <w:r>
        <w:t>En l’espèce, la problématique soulevée a trait à l’obligation de soumettre le projet litigieux à une EIE. Il convient d’abord d’examiner s’il est en tant que tel soumis à une EIE et ensuite s’il faut le considérer comme partie intégrante du magasin principal comme le prétend la recourante.</w:t>
      </w:r>
    </w:p>
    <w:p>
      <w:r>
        <w:t>Le projet litigieux est, comme cela a été démontré ci-dessus, essentiellement un lieu de stockage sans espace de vente ni d’exposition de marchandises. Il ne peut donc pas être qualifié de centre commercial ou de magasin spécialisé au sens du ch. 80.5 de l’annexe de l’OEIE. De plus, au regard du plan n° D1100 relatif à la demande d’autorisation litigieuse ainsi que du contrat de location du 25 octobre 2010, la surface de stockage totale est d’environ 8’286 m2, respectivement de 8’619 m2. En tous les cas, elle n’atteint pas la valeur-seuil de 20’000 m2 du ch. 80.6 de l’annexe de l’OEIE. Il n’est au surplus pas contesté que la valeur du volume de stockage de 120’000 m3 n’est pas atteinte. S’agissant des places de stationnement, le plan précité n° D1100 en indique 17 de sorte que la valeur-seuil de 500 places du ch. 11.4 de l’annexe de l’OEIE n’est pas atteinte. Le projet litigieux n’est donc en soi pas soumis à une EIE.</w:t>
      </w:r>
    </w:p>
    <w:p>
      <w:r>
        <w:t>Situés sur des parcelles éloignées de plus de 1 km de distance, il ne peut être admis un lien spatial étroit entre l’entrepôt et le magasin principal d’Ikea, de sorte que ces deux ouvrages ne constituent pas une installation unique. L’entrepôt n’est ainsi pas partie intégrante du magasin principal. Il n’y a donc pas lieu d’additionner ni les places de stationnement ni les surfaces ou volumes de stockage de ces deux ouvrages. L’absence de lien spatial étroit est d’ailleurs admise par la recourante. La seule existence d’un lien fonctionnel entre ces parties n’est, au regard de la jurisprudence fédérale, pas suffisante pour les soumettre à une EIE unique. Par conséquent, le projet litigieux ne doit pas faire l’objet d’une EIE. Le grief de la recourante doit donc être écarté. 5. La recourante soutient que le projet litigieux ne pouvait pas faire l’objet d’une procédure accélérée au sens de l’art. 3 al. 7 LCI et que l’autorisation de construire délivrée est en conséquence nulle.</w:t>
      </w:r>
    </w:p>
    <w:p>
      <w:r>
        <w:t>- 15/19 - A/3878/2010 a. Sur tout le territoire du canton, nul ne peut, sans y avoir été autorisé, modifier même partiellement le volume, l’architecture, la couleur, l’implantation, la distribution ou la destination d’une construction ou d’une installation (art. 1 al. 1 let. b LCI).</w:t>
      </w:r>
    </w:p>
    <w:p>
      <w:r>
        <w:t>Aux termes de l’art. 3 al. 7 LCI, le département peut traiter par procédure accélérée les demandes d’autorisation relatives à des travaux, soumis à l’art. 1, portant sur la modification intérieure d’un bâtiment existant ou ne modifiant pas l’aspect général de celui-ci (...).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t>b.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w:t>
      </w:r>
    </w:p>
    <w:p>
      <w:r>
        <w:rPr>
          <w:b/>
        </w:rPr>
        <w:t>E. 10</w:t>
      </w:r>
    </w:p>
    <w:p>
      <w:r>
        <w:t>décembre 1987, pp. 6971 ss, notamment 6972, 6979).</w:t>
      </w:r>
    </w:p>
    <w:p>
      <w:r>
        <w:t>A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w:t>
      </w:r>
    </w:p>
    <w:p>
      <w:r>
        <w:t>- 16/19 - A/3878/2010 (Mémorial des séances du Grand Conseil du 18 septembre 1992, pp. 4657s). L’al. 6 - devenu entretemps l’al. 7 - a donc été modifié dans sa teneur actuelle.</w:t>
      </w:r>
    </w:p>
    <w:p>
      <w:r>
        <w:t>Il découle de ce qui précède que des travaux touchant la façade d’une construction ne sont pas, a priori, exclus de ceux pouvant être autorisés par procédure accélérée, à condition qu’ils ne modifient pas l’aspect général du bâtiment.</w:t>
      </w:r>
    </w:p>
    <w:p>
      <w:r>
        <w:t>c. Dans une affaire de 2007 (ATA/263/2007 du 22 mai 2007, consid. 5), le Tribunal administratif a estimé que des travaux portant sur le remplacement des fenêtres d’un bâtiment avaient été valablement autorisés par procédure accélérée. Les fenêtres subissaient des modifications au niveau de leur partition : les proportions et divisions à l’intérieur de l’encadrement des fenêtres n'étaient pas conservées et leur cadre en aluminium gris était remplacé par du PVC blanc. Cette rénovation ne modifiait pas l’aspect général du bâtiment, car elle n’altérait pas profondément les façades. Les travaux n’avaient ainsi pas une grande incidence sur l’esthétique des façades.</w:t>
      </w:r>
    </w:p>
    <w:p>
      <w:r>
        <w:t>Dans une affaire suivante (ATA/599/2007 du 20 novembre 2007, consid. 3), le Tribunal administratif a refusé l’emploi de la procédure accélérée dans le cadre d’un projet de rénovation partielle d’une façade d’un bâtiment sis à la rue du Rhône. Ce projet prévoyait le remplacement des vitrages et des éléments verticaux en aluminium existants ainsi qu’une modification dans l’écartement de ceux-ci. Comme les travaux visaient à remplacer tous les éléments composant la façade, ils avaient incontestablement une incidence esthétique non négligeable sur la façade. Ils en modifiaient notamment le rythme, tant vertical qu’horizontal. L’aspect général du bâtiment était ainsi modifié de façon significative.</w:t>
      </w:r>
    </w:p>
    <w:p>
      <w:r>
        <w:t>En l’espèce, le projet litigieux est situé en zone de développement industriel. Les modifications du premier étage de l’entrepôt sont essentiellement intérieures. Les autres modifications résultent de demandes spéciales des services étatiques et ne modifient pas l’aspect général du bâtiment dans la mesure où les nouvelles ouvertures sont vitrées et de taille raisonnable par rapport à la surface de stockage. De plus, les escaliers de secours remplacent les échelles existantes. En conséquence, le grief de la recourante est mal fondé. 6. La recourante se plaint aussi d’une violation de l’art. 14 LCI en raison de l’augmentation du trafic routier dans un secteur très exposé aux nuisances liées à la circulation routière et aérienne.</w:t>
      </w:r>
    </w:p>
    <w:p>
      <w:r>
        <w:t>a. A teneur de l’art. 14 LCI, le département peut refuser une autorisation lorsqu’une construction ou une installation peut être la cause d’inconvénients graves pour les usagers, le voisinage ou le public (art. 14 al. 1 let. a LCI) ou peut créer, par sa nature, sa situation ou le trafic que provoque sa destination ou son exploitation, un danger ou une gêne durable pour la circulation (art. 14 al. 1 let. e</w:t>
      </w:r>
    </w:p>
    <w:p>
      <w:r>
        <w:t>- 17/19 - A/3878/2010 LCI). L’entrée en vigueur du droit fédéral de l’aménagement du territoire et de l’environnement limite la portée de cette disposition, qui conserve néanmoins une portée propre en matière d’inconvénients afférents à la circulation, notamment en ce qui concerne le stationnement des véhicules ou la mise en danger des piétons ou du public (ATA/277/2010 du 27 avril 2010 ; ATA/80/2009 du 17 février 2009 consid. 8 ; ATF 118 Ia 112 consid. 1b p. 115, et les références citées).</w:t>
      </w:r>
    </w:p>
    <w:p>
      <w:r>
        <w:t>b. Selon la jurisprudence constante de la chambre de céans, l’art. 14 LCI appartient aux normes de protection qui sont destinées à sauvegarder les particularités de chaque zone, en prohibant les inconvénients incompatibles avec le caractère d’une zone déterminée (ATA/92/2003 du 25 février 2003, consid. 4b, et les références citées).</w:t>
      </w:r>
    </w:p>
    <w:p>
      <w:r>
        <w:t>L’accroissement du trafic routier, s’il est raisonnable, ne crée pas une gêne durable au sens de la disposition légale précitée (ATA/306/2008 du 10 juin 2008 ; ATA/232/2006 du 2 mai 2006, et les références citées). La chambre de céans a, en outre, plusieurs fois jugé que l’accroissement du trafic engendré par de nouvelles constructions conformes à la destination de la zone ne constituait pas un inconvénient grave au sens de l’art. 14 LCI (ATA/396/2010 du 8 juin 2010 ; ATA/309/2007 du 12 juin 2007).</w:t>
      </w:r>
    </w:p>
    <w:p>
      <w:r>
        <w:t>En l’espèce, l’appréciation du TAPI, composé pour partie de spécialistes, selon laquelle une augmentation hebdomadaire de 650 véhicules reste une charge de trafic négligeable au vu de la zone industrielle considérée, apparaît correcte et doit être confirmée. Ce chiffre ressort d’une étude demandée par la recourante et se fonde sur des périodes de forte fréquentation. La recourante ne démontre pas en quoi l’appréciation du TAPI serait erronée et ne conteste pas les chiffres de l’étude précitée. Par ailleurs, comme cela a été démontré aux considérants précédents, le projet litigieux est conforme à l’affectation de la zone et ne requiert pas une EIE. De plus, il ne génère pas de problème de stationnement, dans la mesure où il comprend 17 places de parc. Au vu de ces éléments, l’augmentation du trafic ne constitue ni une gêne durable ni un inconvénient grave au sens de la jurisprudence précitée. Enfin, l’argument relatif au dépassement des valeurs limite d’émissions de dioxyde d’azote (NO2) n’est pas pertinent au regard de l’art. 14 LCI en raison de la réglementation fédérale en la matière. Le grief de la recourante ne peut dès lors être retenu. 16.</w:t>
      </w:r>
    </w:p>
    <w:p>
      <w:r>
        <w:t>En tous points mal fondés, le recours sera rejeté. Un émolument de CHF 1’000.- est mis à la charge de la recourante. Une indemnité de procédure de CHF 1’000.-, à charge de la recourante, sera respectivement allouée à SGI et à Ikea (art. 87 LPA).</w:t>
      </w:r>
    </w:p>
    <w:p>
      <w:r>
        <w:t>- 18/19 - A/3878/2010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