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ATA/361/2017 vom 28. März 2017</w:t>
      </w:r>
    </w:p>
    <w:p>
      <w:r>
        <w:t>GE Cour de justice, 2017-03-28, FR</w:t>
      </w:r>
    </w:p>
    <w:p>
      <w:r>
        <w:rPr>
          <w:b/>
        </w:rPr>
        <w:t xml:space="preserve">Quelle: </w:t>
      </w:r>
      <w:r>
        <w:t>https://mcp.opencaselaw.ch/entscheid/ge_gerichte_ATA_361_2017</w:t>
      </w:r>
    </w:p>
    <w:p>
      <w:r>
        <w:t>FR: GE_GERICHTE ATA/361/2017 du 28 mars 2017</w:t>
      </w:r>
    </w:p>
    <w:p>
      <w:r>
        <w:t>IT: GE_GERICHTE ATA/361/2017 del 28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LPA).</w:t>
      </w:r>
    </w:p>
    <w:p>
      <w:r>
        <w:rPr>
          <w:b/>
        </w:rPr>
        <w:t>E. 2</w:t>
      </w:r>
    </w:p>
    <w:p>
      <w:r>
        <w:t>Est litigieux l’ordre donné par l’intimé au recourant de requérir une autorisation de construire relative à un éventuel changement d’affectation d’un bien immobilier.</w:t>
      </w:r>
    </w:p>
    <w:p>
      <w:r>
        <w:rPr>
          <w:b/>
        </w:rPr>
        <w:t>E. 3</w:t>
      </w:r>
    </w:p>
    <w:p>
      <w:r>
        <w:t>Sur tout le territoire du canton nul ne peut, sans y avoir été autorisé modifier même partiellement la destination d’une construction ou d’une installation (art. 1 al. 1 let. b LCI).</w:t>
      </w:r>
    </w:p>
    <w:p>
      <w:r>
        <w:rPr>
          <w:b/>
        </w:rPr>
        <w:t>E. 4</w:t>
      </w:r>
    </w:p>
    <w:p>
      <w:r>
        <w:t>a. Dans deux arrêts récents, (ATA/526/2016 et ATA/527/2016 du 21 juin 2016, consid. 2), la chambre administrative a précisé les contours de l’intervention du département lorsqu’il ordonne de requérir une autorisation de construire.</w:t>
      </w:r>
    </w:p>
    <w:p>
      <w:r>
        <w:t>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(ATA/1258/2015 du 24 novembre 2015 consid. 3 et ATA/544/2014 du 17 juillet 2014).</w:t>
      </w:r>
    </w:p>
    <w:p>
      <w:r>
        <w:t>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(ATA/526/2016 et ATA/527/2016 du 21 juin 2016, consid. 2).</w:t>
      </w:r>
    </w:p>
    <w:p>
      <w:r>
        <w:t>b. Une décision qui confirme l'obligation faite à une recourante de déposer des requêtes en autorisation de construire ne met pas fin à la procédure et revêt un caractère incident (arrêts du Tribunal fédéral 1C_92/2017 du 15 février 2017 ; 1C_390/2016 et 392/2016 du 5 septembre 2016 ; 1C_386/2013 du 28 février 2014 consid. 1.2).</w:t>
      </w:r>
    </w:p>
    <w:p>
      <w:r>
        <w:t>c. En l’espèce, conformément à la jurisprudence précitée, le recourant s’est vu notifier une décision incidente, ce qu’il ne conteste pas.</w:t>
      </w:r>
    </w:p>
    <w:p>
      <w:r>
        <w:rPr>
          <w:b/>
        </w:rPr>
        <w:t>E. 5</w:t>
      </w:r>
    </w:p>
    <w:p>
      <w:r>
        <w:t>Sont susceptibles d’un recours les décisions incidentes, si elles peuvent causer un préjudice irréparable ou si l'admission du recours peut conduire immédiatement à une décision finale qui permet d'éviter une procédure probatoire longue et coûteuse (art. 57 let. c LPA).</w:t>
      </w:r>
    </w:p>
    <w:p>
      <w:r>
        <w:t>- 6/9 - A/2003/2016</w:t>
      </w:r>
    </w:p>
    <w:p>
      <w:r>
        <w:rPr>
          <w:b/>
        </w:rPr>
        <w:t>E. 6</w:t>
      </w:r>
    </w:p>
    <w:p>
      <w:r>
        <w:t>Le recourant allègue subir un préjudice irréparable au sens de l’art. 57 let. c LPA en ce sens que le fait de déposer une demande d’autorisation revient à admettre qu’il aurait procédé à un changement d’affectation, ce qu’il conteste. Par ailleurs, si le département devait refuser le changement d’affectation, il ne pourrait plus recourir contre celui-ci.</w:t>
      </w:r>
    </w:p>
    <w:p>
      <w:r>
        <w:t>a. L’art. 57 let. c LPA a la même teneur que l’art. 93 al. 1 let. a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135 II 30 ; 134 II 137 ;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w:t>
      </w:r>
    </w:p>
    <w:p>
      <w:r>
        <w:t>La chambre administrative a précisé à plusieurs reprises que l’art. 57 let. c LPA devait être interprété à la lumière de ces principes (ATA/231/2017 du 22 février 2017 ; ATA/385/2016 du 3 mai 2016 ; ATA/64/2014 du 4 février 2014).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w:t>
      </w:r>
    </w:p>
    <w:p>
      <w:r>
        <w:t>b. En l’espèce, la décision querellée se limite à exiger le dépôt d’une requête afin précisément de pouvoir l’instruire.</w:t>
      </w:r>
    </w:p>
    <w:p>
      <w:r>
        <w:t>Déposer une requête en autorisation n’impose que de simples démarches administratives. Le propriétaire aura en conséquence tout loisir de faire valoir ses arguments dans le cadre de l’instruction de la requête.</w:t>
      </w:r>
    </w:p>
    <w:p>
      <w:r>
        <w:t>Contrairement à ce que soutient le recourant, déposer la requête sollicitée par le département ne revient pas à admettre le changement d’affectation, mais</w:t>
      </w:r>
    </w:p>
    <w:p>
      <w:r>
        <w:t>- 7/9 - A/2003/2016 permettra d’instruire de façon approfondie tous les faits pertinents avant qu’une décision soit prise. Il appartient en effet à l’autorité d’établir les faits d’office (art. 19 LPA) et de réunir les renseignements pour fonder sa décision (art. 20 al. 1 LPA).</w:t>
      </w:r>
    </w:p>
    <w:p>
      <w:r>
        <w:t>De surcroît, il n’est pas exclu qu’à l’issue de l’instruction de la demande d’autorisation de construire, le département considère qu’il n’y a pas de changement d’affectation (dans ce sens arrêt du Tribunal fédéral 1C_470/2008 du</w:t>
      </w:r>
    </w:p>
    <w:p>
      <w:r>
        <w:rPr>
          <w:b/>
        </w:rPr>
        <w:t>E. 11</w:t>
      </w:r>
    </w:p>
    <w:p>
      <w:r>
        <w:t>novembre 2008 consid. 2.2).</w:t>
      </w:r>
    </w:p>
    <w:p>
      <w:r>
        <w:t>Par ailleurs, quelle que soit la décision du DALE, l’intéressé conservera la possibilité de recourir, cas échéant en contestant à ce stade la soumission à autorisation.</w:t>
      </w:r>
    </w:p>
    <w:p>
      <w:r>
        <w:t>Compte tenu de ce qui précède, le recourant échoue à faire la démonstration de l’existence d’un préjudice irréparable. 7.</w:t>
      </w:r>
    </w:p>
    <w:p>
      <w:r>
        <w:t>Se pose la question de la seconde hypothèse visée par l’art. 57 let. c LPA, à savoir si l’admission du recours peut conduire immédiatement à une décision finale qui permet d’éviter une procédure probatoire longue et coûteuse.</w:t>
      </w:r>
    </w:p>
    <w:p>
      <w:r>
        <w:t>Les questions de savoir si l’autorisation peut être délivrée, à l’instar de l’argument relatif à la LDTR, ne sont pas l’objet du présent litige (ATA/526/2016 et ATA/527/2016 précités consid. 18). À défaut du dépôt d’une requête formelle et de l’instruction du dossier par le département, l’autorité compétente ne peut pas se prononcer sur la question de fond. C’est précisément pour cette raison que le département a ordonné le dépôt d’une requête formelle.</w:t>
      </w:r>
    </w:p>
    <w:p>
      <w:r>
        <w:t>De surcroît, dans ce dossier, le dépôt de la requête ne nécessite pas l’élaboration d’un travail démesuré ou excessivement coûteux.</w:t>
      </w:r>
    </w:p>
    <w:p>
      <w:r>
        <w:t>La présente procédure de recours n’est en conséquence pas susceptible de déboucher sur une décision finale permettant d’éviter une procédure probatoire longue et coûteuse (art. 57 let. c LPA in fine).</w:t>
      </w:r>
    </w:p>
    <w:p>
      <w:r>
        <w:t>La seconde hypothèse visée par l’art. 57 let. c LPA n’est pas réalisée. 8.</w:t>
      </w:r>
    </w:p>
    <w:p>
      <w:r>
        <w:t>Les conditions de l’art. 57 let. c LPA n’étant pas remplies, c’est à juste titre que le TAPI a déclaré le recours irrecevable.</w:t>
      </w:r>
    </w:p>
    <w:p>
      <w:r>
        <w:t>Vu l'issue du litige, un émolument de CHF 1’000.- sera mis à la charge du recourant (art. 87 al. 1 LPA). Aucune indemnité de procédure ne sera allouée (art. 87 al. 2 LPA).</w:t>
      </w:r>
    </w:p>
    <w:p>
      <w:r>
        <w:t>* * * * *</w:t>
      </w:r>
    </w:p>
    <w:p>
      <w:r>
        <w:t>- 8/9 - A/2003/2016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