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ATA/360/2019 vom 2. April 2019</w:t>
      </w:r>
    </w:p>
    <w:p>
      <w:r>
        <w:t>GE Cour de justice, 2019-04-02, FR</w:t>
      </w:r>
    </w:p>
    <w:p>
      <w:r>
        <w:rPr>
          <w:b/>
        </w:rPr>
        <w:t xml:space="preserve">Quelle: </w:t>
      </w:r>
      <w:r>
        <w:t>https://mcp.opencaselaw.ch/entscheid/ge_gerichte_ATA_360_2019</w:t>
      </w:r>
    </w:p>
    <w:p>
      <w:r>
        <w:t>FR: GE_GERICHTE ATA/360/2019 du 2 avril 2019</w:t>
      </w:r>
    </w:p>
    <w:p>
      <w:r>
        <w:t>IT: GE_GERICHTE ATA/360/2019 del 2 aprile 2019</w:t>
      </w:r>
    </w:p>
    <w:p>
      <w:pPr>
        <w:pStyle w:val="Heading2"/>
      </w:pPr>
      <w:r>
        <w:t>Erwägungen</w:t>
      </w:r>
    </w:p>
    <w:p>
      <w:r>
        <w:rPr>
          <w:b/>
        </w:rPr>
        <w:t>E. 1</w:t>
      </w:r>
    </w:p>
    <w:p>
      <w:r>
        <w:t>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recourant sollicite son audition – publique – ainsi que celle de l’inspecteur, du responsable du PCTN et de la Cour des comptes.</w:t>
      </w:r>
    </w:p>
    <w:p>
      <w:r>
        <w:t>- 7/21 - A/3199/2018</w:t>
      </w:r>
    </w:p>
    <w:p>
      <w:r>
        <w:t>a. Selon la jurisprudence développée par le Tribunal fédéral et reprise par la chambre de céans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w:t>
      </w:r>
    </w:p>
    <w:p>
      <w:r>
        <w:t>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utiles. Les faits sur lesquels pourrait être entendu le recourant sont suffisamment établis par les pièces du dossier. L’audition de l’inspecteur, ainsi que celles du responsable du PCTN et de la Cour des comptes, qui ne pourraient au demeurant porter que sur des questions d’ordre général, ne pourraient en tout état de cause pas avoir de portée déterminante pour l’issue du litige, comme cela sera exposé ci-après. Le recourant a par ailleurs pu répliquer. Ainsi, les auditions sollicitées n’apparaissent pas de nature à apporter un éclairage utile aux questions à trancher.</w:t>
      </w:r>
    </w:p>
    <w:p>
      <w:r>
        <w:t>Il ne sera dès lors pas donné suite à la requête du recourant.</w:t>
      </w:r>
    </w:p>
    <w:p>
      <w:r>
        <w:rPr>
          <w:b/>
        </w:rPr>
        <w:t>E. 3</w:t>
      </w:r>
    </w:p>
    <w:p>
      <w:r>
        <w:t>a. Le 1er juillet 2017 est entrée en vigueur la loi sur les taxis et les voitures de transport avec chauffeur du 13 octobre 2016 (LTVTC - H 1 31) et le règlement d’exécution de la LTVTC du 21 juin 2017 (RTVTC - H 1 31.01), abrogeant l’aLTaxis et son règlement d’exécution du 4 mai 2005 (aRTaxis ; art. 40 LTVTC et 53 RTVTC).</w:t>
      </w:r>
    </w:p>
    <w:p>
      <w:r>
        <w:t>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w:t>
      </w:r>
    </w:p>
    <w:p>
      <w:r>
        <w:t>- 8/21 - A/3199/2018 L’application du nouveau droit est réservée, si ce dernier est plus favorable à l’auteur de l’infraction (art. 66 al. 2 RTVTC).</w:t>
      </w:r>
    </w:p>
    <w:p>
      <w:r>
        <w:t>c. À cet égard, l’art. 66 al. 1 1ère phr. RTVTC ne fait que reprendre la règle générale selon laquelle s’appliquent aux faits dont les conséquences juridiques sont en cause, les normes en vigueur au moment où ces faits se produisent (ATA/629/2018 du 19 juin 2018 ; Pierre MOOR/Alexandre FLÜCKIGER/ Vincent MARTENET, Droit administratif, vol. 1, 3ème éd., 2012, p. 184). L’art. 66 al. 2 RTVTC reprend quant à lui le principe de la lex mitior applicable aux sanctions.</w:t>
      </w:r>
    </w:p>
    <w:p>
      <w:r>
        <w:t>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(ATA/629/2018 précité et les références citées).</w:t>
      </w:r>
    </w:p>
    <w:p>
      <w:r>
        <w:t>La présente cause est donc soumise à l’aLTaxis et l’aRTaxis.</w:t>
      </w:r>
    </w:p>
    <w:p>
      <w:r>
        <w:rPr>
          <w:b/>
        </w:rPr>
        <w:t>E. 4</w:t>
      </w:r>
    </w:p>
    <w:p>
      <w:r>
        <w:t>Le recourant se plaint d’une violation de son droit d’être entendu parce que le barème des sanctions ne figurait pas dans son dossier qu’il avait consulté et en raison du défaut de motivation de la décision querellée.</w:t>
      </w:r>
    </w:p>
    <w:p>
      <w:r>
        <w:t>a. Dans le cadre de l’exercice du droit d’être entendu, la possibilité pour l’administré de faire valoir ses arguments dans une procédure suppose la connaissance préalable des éléments dont l’autorité dispose (ATA/987/2018 du 25 septembre 2018 consid. 4c).</w:t>
      </w:r>
    </w:p>
    <w:p>
      <w:r>
        <w:t>En l’espèce, dans le cadre des échanges de correspondances qu’il a eus avec le recourant, le PCTN lui a indiqué qu’il ne disposait pas d’autres pièces le concernant que les rapports transmis le 2 novembre 2017. Il ne ressort pas de la décision querellée que des éléments hors dossier auraient été pris en compte.</w:t>
      </w:r>
    </w:p>
    <w:p>
      <w:r>
        <w:t>Par ailleurs, le fait que le barème des sanctions ne figure pas dans le dossier consulté ne saurait constituer une informalité. De jurisprudence constante, ce barème est un document accessible à tout un chacun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la première demande (ATA/1267/2018 du 27 novembre 2018 consid. 4a).</w:t>
      </w:r>
    </w:p>
    <w:p>
      <w:r>
        <w:t>- 9/21 - A/3199/2018</w:t>
      </w:r>
    </w:p>
    <w:p>
      <w:r>
        <w:t>Le recourant n’a, jusqu’au 7 et 13 décembre 2018, pas formulé une telle demande au PCTN.</w:t>
      </w:r>
    </w:p>
    <w:p>
      <w:r>
        <w:t>Il soutient que l’autorité intimée aurait dû comprendre que sa demande de consultation de son dossier emportait demande de consultation du barème compte tenu d’échanges de vue antérieurs entre le PCTN et son conseil dans une procédure de 2015 concernant une autre partie.</w:t>
      </w:r>
    </w:p>
    <w:p>
      <w:r>
        <w:t>Le recourant ne peut toutefois pas être suivi. En effet, son allégation n’est étayée par aucune pièce pertinente, le seul extrait produit d’observations du PCTN dans le cadre de cette procédure de 2015 portant sur la position d’alors de ce service au sujet de la portée du barème en question.</w:t>
      </w:r>
    </w:p>
    <w:p>
      <w:r>
        <w:t>Au demeurant, l’intéressé a reçu de la chambre de céans le barème, sous forme des directives, et il s’est exprimé à son sujet dans sa dernière écriture.</w:t>
      </w:r>
    </w:p>
    <w:p>
      <w:r>
        <w:t>Une différence de traitement quant à la quotité de la sanction entre la présente procédure et une autre procédure de 2018 (A/3026/2018) démontrerait, selon l’intéressé, que le barème appliqué ne serait pas fiable ou que le PCTN fixerait à son gré le montant des sanctions sans tenir compte de la situation concrète du justiciable.</w:t>
      </w:r>
    </w:p>
    <w:p>
      <w:r>
        <w:t>Or d’une part, la chambre de céans examine la quotité de l’amende administrative sous l’angle du principe de la proportionnalité, en tenant aussi compte de la situation financière personnelle de l’intéressé et avec la possibilité d’effectuer une comparaison avec des cas similaires tranchés par elle. D’autre part, le recourant a pu s’exprimer sur l’application du barème à son cas.</w:t>
      </w:r>
    </w:p>
    <w:p>
      <w:r>
        <w:t>Partant, la production dudit fichier Excel, de même que l’audition du responsable de la Cour des comptes, ne sauraient avoir une quelconque utilité pour l’issue du présent litige.</w:t>
      </w:r>
    </w:p>
    <w:p>
      <w:r>
        <w:t>De surcroît, même à supposer qu’une informalité avait été commise par l’intimé, elle serait réparée (ATA/1108/2018 du 17 octobre 2018 et les arrêts cités).</w:t>
      </w:r>
    </w:p>
    <w:p>
      <w:r>
        <w:t>Le grief doit être écarté sur ce point.</w:t>
      </w:r>
    </w:p>
    <w:p>
      <w:r>
        <w:t>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w:t>
      </w:r>
    </w:p>
    <w:p>
      <w:r>
        <w:t>- 10/21 - A/3199/2018</w:t>
      </w:r>
    </w:p>
    <w:p>
      <w:r>
        <w:t>Dans le cas présent, la motivation de la décision litigieuse permet au recourant tant de comprendre sa portée, en particulier les reproches qui lui sont adressés, que de recourir contre cet acte en toute connaissance de cause et de manière efficace.</w:t>
      </w:r>
    </w:p>
    <w:p>
      <w:r>
        <w:t>Au surplus, le barème a été produit dans le cadre de la présente procédure.</w:t>
      </w:r>
    </w:p>
    <w:p>
      <w:r>
        <w:t>Le grief n’est pas non plus fondé sur ce second point.</w:t>
      </w:r>
    </w:p>
    <w:p>
      <w:r>
        <w:rPr>
          <w:b/>
        </w:rPr>
        <w:t>E. 5</w:t>
      </w:r>
    </w:p>
    <w:p>
      <w:r>
        <w:t>Par ailleurs, une violation du droit d’être entendu de l’intéressé ainsi que du principe de la bonne foi par le fait que le PCTN aurait invoqué, seulement dans sa réponse au recours et donc tardivement, des intérêts publics, ne saurait être retenue, déjà pour le motif que le recourant ne s’est prévalu de la force dérogatoire du droit fédéral et de la liberté économique que dans son recours.</w:t>
      </w:r>
    </w:p>
    <w:p>
      <w:r>
        <w:rPr>
          <w:b/>
        </w:rPr>
        <w:t>E. 6</w:t>
      </w:r>
    </w:p>
    <w:p>
      <w:r>
        <w:t>Au vu de la date du présent arrêt, la prescription de trois ans (art. 109 CP appliqué par analogie, avec l’art. 98 CP ; ATA/313/2017 précité consid. 4b et les références citées), examinée d’office lorsqu’elle joue en faveur de l’administré (ATF 138 II 169 consid. 3.2 ; ATA/1368/2017 du 10 octobre 2017), est acquise pour l’infraction du 19 novembre 2015 reprochée au recourant, mais non pour celle qui aurait été commise le 14 avril 2016.</w:t>
      </w:r>
    </w:p>
    <w:p>
      <w:r>
        <w:rPr>
          <w:b/>
        </w:rPr>
        <w:t>E. 7</w:t>
      </w:r>
    </w:p>
    <w:p>
      <w:r>
        <w:t>Le recourant soutient être libre d’exercer une activité de chauffeur VTC sans carte professionnelle de chauffeur de limousine, en application des dispositions de la LMI.</w:t>
      </w:r>
    </w:p>
    <w:p>
      <w:r>
        <w:t>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w:t>
      </w:r>
    </w:p>
    <w:p>
      <w:r>
        <w:t>- 11/21 - A/3199/2018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w:t>
      </w:r>
    </w:p>
    <w:p>
      <w:r>
        <w:t>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2ème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w:t>
      </w:r>
    </w:p>
    <w:p>
      <w:r>
        <w:t>b. En l’espèce, lors des contrôles dont il a fait l’objet, le recourant était domicilié dans le canton de Genève. Il a certes, dans son courrier du 1er décembre 2017, contesté les faits reprochés, sans toutefois donner sa propre version.</w:t>
      </w:r>
    </w:p>
    <w:p>
      <w:r>
        <w:t>Toutefois, il est établi que, comme il l’a admis dans le cadre de son recours, l’intéressé a exercé une activité de chauffeur professionnel de limousine, utilisant notamment l’application « C______ », à partir de novembre 2015, au sens des art. 3 al. 4 et 7 al. 1 aLTaxis notamment. Au moment des faits, il était domicilié dans le canton de Genève, et il ne conteste pas que la seconde course, faisant l’objet du rapport 15 avril 2016, devait être effectuée exclusivement sur le territoire genevois, ni qu’il a d’une manière générale exercé son activité de chauffeur professionnel de limousine essentiellement à l’intérieur du canton de Genève.</w:t>
      </w:r>
    </w:p>
    <w:p>
      <w:r>
        <w:t>Ainsi, même si l’infraction du 19 novembre 2015 ne peut pas être sanctionnée du fait de la prescription, le fait que l’activité litigieuse s’est déroulée pour l’essentiel dans le canton de Genève, où était domicilié le chauffeur concerné et quand bien même son véhicule était immatriculé dans le canton de Vaud pendant une certaine période à tout le moins, constitue un motif suffisant d’exclure l’application de la LMI.</w:t>
      </w:r>
    </w:p>
    <w:p>
      <w:r>
        <w:t>Le grief du recourant sera écarté, ce également sous l’angle d’une prétendue violation de l’art. 95 al. 2 Cst.</w:t>
      </w:r>
    </w:p>
    <w:p>
      <w:r>
        <w:t>- 12/21 - A/3199/2018</w:t>
      </w:r>
    </w:p>
    <w:p>
      <w:r>
        <w:rPr>
          <w:b/>
        </w:rPr>
        <w:t>E. 8</w:t>
      </w:r>
    </w:p>
    <w:p>
      <w:r>
        <w:t>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w:t>
      </w:r>
    </w:p>
    <w:p>
      <w:r>
        <w:t>Aux termes de l’art. 5 al. 1 aLTaxis, seul le titulaire d’une carte professionnelle de chauffeur de taxi ou de chauffeur de limousine peut conduire un véhicule pour transporter professionnellement des personnes.</w:t>
      </w:r>
    </w:p>
    <w:p>
      <w:r>
        <w:t>Selon l’art. 7 aLTaxis, la carte professionnelle de chauffeur de limousine confère au chauffeur le droit d’exercer son activité comme chauffeur indépendant d’une limousine ou comme employé d’un exploitant indépendant ou d’une entreprise de limousines (al. 1). L’autorisation est strictement personnelle et intransmissible ; elle est délivrée par le département lorsque le requérant a l’exercice des droits civils (al. 2 let. a), est Suisse ou est au bénéfice d’une autorisation lui permettant de travailler en Suisse comme indépendant ou comme employé (al. 2 let. b), offre des garanties de moralité et de comportement suffisantes (al. 2 let. c), a réussi les examens prévus à l’art. 27 (al. 2 let. d), est détenteur du permis de conduire et de transporter professionnellement des personnes et, pour la conduite des minibus, des autorisations et certificat fédéral de capacité prévus par le droit fédéral (al. 2 let. e).</w:t>
      </w:r>
    </w:p>
    <w:p>
      <w:r>
        <w:rPr>
          <w:b/>
        </w:rPr>
        <w:t>E. 9</w:t>
      </w:r>
    </w:p>
    <w:p>
      <w:r>
        <w:t>Le recourant soutient que l’aLTaxis, en instaurant des exigences supplémentaires par rapport à celles prévues par le droit fédéral pour autoriser un chauffeur professionnel à conduire une limousine, violerait les principes de la primauté du droit fédéral et de la liberté économique.</w:t>
      </w:r>
    </w:p>
    <w:p>
      <w:r>
        <w:rPr>
          <w:b/>
        </w:rPr>
        <w:t>E. 10</w:t>
      </w:r>
    </w:p>
    <w:p>
      <w:r>
        <w:t>a. S’agissant du grief de violation de la primauté du droit fédéral, l’art. 49 al. 1 Cst. dispose que le droit fédéral prime le droit cantonal qui lui est contraire.</w:t>
      </w:r>
    </w:p>
    <w:p>
      <w:r>
        <w:t>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w:t>
      </w:r>
    </w:p>
    <w:p>
      <w:r>
        <w:t>- 13/21 - A/3199/2018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w:t>
      </w:r>
    </w:p>
    <w:p>
      <w:r>
        <w:t>b. Selon l’art. 82 al. 1 Cst., la Confédération légifère sur la circulation routière.</w:t>
      </w:r>
    </w:p>
    <w:p>
      <w:r>
        <w:t>Cet article donne une compétence législative globale à la Confédération qui est concrétisée par la loi fédérale sur la circulation routière du 19 décembre 1958 (LCR - RS 741.01 ; FF 1997 I 1, 262).</w:t>
      </w:r>
    </w:p>
    <w:p>
      <w:r>
        <w:t>Les cantons restent compétents pour édicter des prescriptions complémentaires sur la circulation routière, sauf en ce qui concerne les véhicules automobiles et les cycles, les tramways et chemins de fer routiers (art. 106 al. 3 LCR).</w:t>
      </w:r>
    </w:p>
    <w:p>
      <w:r>
        <w:t>Malgré l’art. 106 al. 3 LCR, le Conseil fédéral a néanmoins délégué ses compétences aux cantons en matière de taxis par l’intermédiaire de l’art. 25 de l’ordonnance sur la durée du travail et du repos des conducteurs professionnels de véhicules légers affectés au transport de personnes et de voitures de tourisme lourdes du 6 mai 1981 (OTR 2 - RS 822.222 ; arrêt du Tribunal fédéral 2P.83/2005 du 26 janvier 2006 consid. 6.1 ; André BUSSY/Baptiste RUSCONI/ Yvan JEANNERET/André KUHN/Cédric MIZEL/Christoph MÜLLER, Code suisse de la circulation routière commenté, 4ème éd., 2015, n. 2.2 ad art. 106 LCR et les références citées).</w:t>
      </w:r>
    </w:p>
    <w:p>
      <w:r>
        <w:t>Les cantons peuvent édicter, pour les conducteurs de taxis qui exercent leur activité dans des agglomérations urbaines, des prescriptions dérogeant aux art. 5, 6, 8, 9, 11, 12, 17, 18 et 21 OTR 2 et peuvent même déclarer que ces prescriptions s’appliqueront aussi aux conducteurs de taxis indépendants. Les cantons peuvent déléguer cette compétence aux communes (art. 25 al. 1 OTR 2).</w:t>
      </w:r>
    </w:p>
    <w:p>
      <w:r>
        <w:t>c. Saisi d’un recours visant l’annulation de l’entier de la LTaxis, subsidiairement celle de nombre de ses dispositions, le Tribunal fédéral, dans son arrêt 2P.83/2005 précité, a examiné la constitutionnalité de plusieurs articles</w:t>
      </w:r>
    </w:p>
    <w:p>
      <w:r>
        <w:t>- 14/21 - A/3199/2018 traitant des limousines, notamment sous l’angle de la liberté économique. Les cartes professionnelles de chauffeurs en faisaient partie. Le Tribunal fédéral n’a pas annulé les dispositions y relatives. Il n’a pas non plus fait mention d’une éventuelle contrariété au droit fédéral de la circulation routière.</w:t>
      </w:r>
    </w:p>
    <w:p>
      <w:r>
        <w:t>Le grief sera dès lors écarté.</w:t>
      </w:r>
    </w:p>
    <w:p>
      <w:r>
        <w:rPr>
          <w:b/>
        </w:rPr>
        <w:t>E. 11</w:t>
      </w:r>
    </w:p>
    <w:p>
      <w:r>
        <w:t>a. En vertu de l’art. 27 Cst., la liberté économique est garantie (al. 1). Elle comprend notamment le libre choix de la profession, le libre accès à une activité économique lucrative privée et son libre exercice (al. 2).</w:t>
      </w:r>
    </w:p>
    <w:p>
      <w:r>
        <w:t>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w:t>
      </w:r>
    </w:p>
    <w:p>
      <w:r>
        <w:t>b. À teneur de l’art. 36 Cst., toute restriction d’un droit fondamental doit être fondée sur une base légale (al. 1 1ère phr.), être justifiée par un intérêt public ou par la protection d’un droit fondamental d’autrui (al. 2) et apparaître proportionnée au but visé (al. 3), l’essence des droits fondamentaux étant inviolable (al. 4).</w:t>
      </w:r>
    </w:p>
    <w:p>
      <w:r>
        <w:t>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Andreas AUER/Giorgio MALINVERNI/Michel HOTTELIER, Droit constitutionnel suisse, vol. II, 2013, n. 983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w:t>
      </w:r>
    </w:p>
    <w:p>
      <w:r>
        <w:t>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w:t>
      </w:r>
    </w:p>
    <w:p>
      <w:r>
        <w:t>La chambre administrative a jugé que ces conditions étaient compatibles avec le droit fédéral supérieur (ATA/313/2017 du 20 mars 2017 consid.6). Elle a retenu que, dans une ville internationale comme Genève, ces exigences remplissent un intérêt public, soit de garantir aux utilisateurs un haut niveau de la qualité du service.</w:t>
      </w:r>
    </w:p>
    <w:p>
      <w:r>
        <w:t>- 15/21 - A/3199/2018</w:t>
      </w:r>
    </w:p>
    <w:p>
      <w:r>
        <w:t>Le fait qu’en 2005, au moment où l’aLTaxis a été adoptée, il n’existait pas encore de smartphones ni les applications qui leur étaient liées et qui peuvent actuellement être utilisées en vue du transport de personnes ne remet nullement en question ni ne relativise les objectifs qui ont amené le législateur genevois à adopter cette loi, avec les exigences qui en découlent.</w:t>
      </w:r>
    </w:p>
    <w:p>
      <w:r>
        <w:t>L’abandon, sous le nouveau droit, de l’exigence des rudiments d’anglais pour les examens pour les chauffeurs de VTC, mais non pour les chauffeurs de taxis, est sans portée, ne serait-ce que parce que l’infraction en cause est examinée à l’aune de l’ancien droit.</w:t>
      </w:r>
    </w:p>
    <w:p>
      <w:r>
        <w:t>Ne remet pas non plus en cause les conditions susmentionnées le fait que l’intéressé était, au moment des faits reprochés, titulaire d’un permis de conduire B avec le code 121 servant à transporter des personnes à titre professionnel (à ce sujet art. 25 de l’ordonnance réglant l’admission des personnes et des véhicules à la circulation routière du 27 octobre 1976 - OAC - RS 741.51 ; https://fuehrerausweise.ch/fr/categories-de-permis/). Sont à cet égard rappelés la délégation de compétence en matière de taxis de la Confédération aux cantons (art. 25 al. 1 OTR 2) ainsi que le fait que la détention du permis de conduire et de transporter professionnellement des personnes et, pour la conduite des minibus, des autorisations et certificat fédéral de capacité prévus par le droit fédéral, est une des conditions à la délivrance de la carte professionnelle de chauffeur de limousine (art. 7 al. 2 let. e aLTaxis).</w:t>
      </w:r>
    </w:p>
    <w:p>
      <w:r>
        <w:t>Le grief doit ainsi être écarté.</w:t>
      </w:r>
    </w:p>
    <w:p>
      <w:r>
        <w:rPr>
          <w:b/>
        </w:rPr>
        <w:t>E. 12</w:t>
      </w:r>
    </w:p>
    <w:p>
      <w:r>
        <w:t>a. Selon le recourant, ce serait de bonne foi qu’il se serait fié à l’autorisation de l’inspecteur concernant la course du 14 avril 2016, ce qui exclurait une sanction administrative pour celle-ci.</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w:t>
      </w:r>
    </w:p>
    <w:p>
      <w:r>
        <w:t>- 16/21 - A/3199/2018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w:t>
      </w:r>
    </w:p>
    <w:p>
      <w:r>
        <w:t>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w:t>
      </w:r>
    </w:p>
    <w:p>
      <w:r>
        <w:t>c. De jurisprudence constante, la chambre de céans accorde généralement valeur probante aux constatations figurant dans un rapport de police, établi par des agents assermentés (ATA/73/2017 du 31 janvier 2017 consid. 7 et les arrêts cités), sauf si des éléments permettent de s’en écarter. Dès lors que les inspecteurs du PCTN, appelés à dresser procès-verbal de faits susceptibles d’entraîner des sanctions sont également des fonctionnaires assermentés (art. 3 let. a de la loi sur la prestation des serments du 24 septembre 1965 - Lser - A 2 15), le même raisonnement peut être appliqué aux rapports établis par ces derniers (ATA/1540/2017 du 28 novembre 2017 consid. 6b notamment, par analogie).</w:t>
      </w:r>
    </w:p>
    <w:p>
      <w:r>
        <w:t>d. Dans le cas présent, ce n’est que dans son recours que le recourant allègue que l’inspecteur lui aurait permis de continuer la course commencée le 14 avril 2016 avec la cliente qu’il avait prise en charge. Cette allégation n’est corroborée par aucun élément de fait, pas même un indice, et n’apparaît pas être de nature à remettre en cause la valeur probante du rapport de l’inspecteur.</w:t>
      </w:r>
    </w:p>
    <w:p>
      <w:r>
        <w:t>- 17/21 - A/3199/2018</w:t>
      </w:r>
    </w:p>
    <w:p>
      <w:r>
        <w:t>Quoi qu’il en soit, même si l’inspecteur lui avait dit « Je ferme les yeux, je vous laisse partir avec votre cliente », cela ne changerait rien au fait que l’infraction de prise en charge d’un passager en tant que chauffeur de limousine sans l’autorisation correspondante serait en tout état de cause, au moment du prononcé de tels propos, déjà réalisée. L’intéressé n’a donc en aucun cas pu – et il ne le soutient pas – se fonder sur des assurances ou un comportement de l’inspecteur pour prendre des dispositions auxquelles il ne saurait renoncer sans subir de préjudice. Ceci rend inutile une éventuelle audition en qualité de témoin de l’inspecteur.</w:t>
      </w:r>
    </w:p>
    <w:p>
      <w:r>
        <w:t>C’est dès lors en vain qu’il se prévaut du principe de la bonne foi pour s’opposer à une sanction de l’infraction du 14 avril 2016.</w:t>
      </w:r>
    </w:p>
    <w:p>
      <w:r>
        <w:rPr>
          <w:b/>
        </w:rPr>
        <w:t>E. 13</w:t>
      </w:r>
    </w:p>
    <w:p>
      <w:r>
        <w:t>Au vu de ce qui précède, la décision entreprise doit être confirmée en ce qu’elle qualifie les faits du 14 avril 2016 d’infractions aux art. 5 al. 1 et art. 7 aLTaxis, en application de l’art. 45 al. 1 aLTaxis.</w:t>
      </w:r>
    </w:p>
    <w:p>
      <w:r>
        <w:rPr>
          <w:b/>
        </w:rPr>
        <w:t>E. 14</w:t>
      </w:r>
    </w:p>
    <w:p>
      <w:r>
        <w:t>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w:t>
      </w:r>
    </w:p>
    <w:p>
      <w:r>
        <w:rPr>
          <w:b/>
        </w:rPr>
        <w:t>E. 15</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(ATA/313/2017 précité consid. 4a).</w:t>
      </w:r>
    </w:p>
    <w:p>
      <w:r>
        <w:t>b. En vertu de l’art. 1 al. 1 let. a de la loi pénale genevoise du 17 novembre 2006 (LPG - E 4 05), les dispositions de la partie générale du CP s’appliquent à titre de droit cantonal supplétif, sous réserve de celles qui concernent exclusivement le juge pénal (notamment les art. 34 ss, 42 ss, 56 ss, 74 ss, 106 al. 1 et 3 et 107 CP).</w:t>
      </w:r>
    </w:p>
    <w:p>
      <w:r>
        <w:t>c.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(ATA/1212/2018 précité consid. 7b ; ATA/1239/2017 du 29 août 2017).</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w:t>
      </w:r>
    </w:p>
    <w:p>
      <w:r>
        <w:t>- 18/21 - A/3199/2018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w:t>
      </w:r>
    </w:p>
    <w:p>
      <w:r>
        <w:t>e.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(ATA/1212/2018 précité consid. 7f).</w:t>
      </w:r>
    </w:p>
    <w:p>
      <w:r>
        <w:t>Les explications du recourant afférentes au caractère flou du contexte général de l’activité de limousine avec l’application « C______ » et à des indices forts en faveur de la légalité de son activité de chauffeur de limousine sans carte professionnelle, et se référant à des prises de position de la commission de la concurrence et d’un professeur de droit ainsi qu’à une prétendue impunité – au demeurant non démontrée – à l’égard de chauffeurs professionnels vaudois courant 2015, ne sont pas convaincantes. L’intéressé ne pouvait en effet pas ignorer que son activité de chauffeur de limousine était soumise à autorisation, sans quoi il n’aurait pas tenté de se soustraire à cette obligation en utilisant un véhicule immatriculé dans le canton de Vaud. Il devait au contraire être au courant de cette exigence légale, d’autant plus qu’il avait passé des examens, dont un concernant « loi et règlement », en vue de l’obtention de la carte professionnelle de chauffeur de limousine. Dans ces circonstances, le recourant étant domicilié dans le canton de Genève et ladite activité étant essentiellement concentrée dans ledit canton, il ne pouvait pas lui échapper qu’en transportant professionnellement des passagers sans une carte professionnelle de chauffeur de limousine ni une autorisation d’exploiter une limousine en qualité d’indépendant, qui plus est avec un véhicule immatriculé dans le canton voisin, il contournait illicitement les exigences claires de l’aLTaxis et de son règlement d’exécution. Par ailleurs, l’ATA/173/2012 du 27 mars 2012 cité par l’intéressé ne lui est d’aucune aide, puisque, dans le cas traité par cet arrêt, les parties recourantes étaient au bénéfice d’autorisations ou concessions d’un autre canton soumises à des conditions similaires sur la plupart des points à celles en vigueur dans le canton de Genève, ce qui n’était pas le cas du recourant au moment des faits reprochés.</w:t>
      </w:r>
    </w:p>
    <w:p>
      <w:r>
        <w:t>L’activité de chauffeur de limousine sans autorisation, dont le caractère illicite ne peut pas être remis en cause par l’existence d’un permis de conduire professionnel et d’une longue expérience professionnelle, a eu lieu, de manière continue et avec l’application « C______ », durant une période non négligeable, à savoir au moins cinq mois en tout, selon ce qu’a admis le recourant, durée toutefois inférieure à celle d’au moins douze mois dans le cas tranché par</w:t>
      </w:r>
    </w:p>
    <w:p>
      <w:r>
        <w:t>- 19/21 - A/3199/2018 l’ATA/1267/2018 précité qui avait confirmé le montant de l’amende de CHF 3’750.-. L’intimé a sanctionné ces deux infractions, dont la première est prescrite, un peu plus de deux ans après la commission de la dernière. Par ailleurs, le recourant n’a pas d’antécédents. En outre, il a, quelques mois après les derniers faits reprochés, obtenu la carte professionnelle de chauffeur de limousine auprès du PCTN.</w:t>
      </w:r>
    </w:p>
    <w:p>
      <w:r>
        <w:t>Quant à la situation financière de l’intéressé, il ressort des avis de taxation, pour l’année qui suit celle durant laquelle l’infraction non prescrite a été commise, un bénéfice net annuel de CHF 31’660.- correspondant environ à CHF 2’640.- mensuellement, soit par an et après les déductions un revenu total de CHF 8’347.- pour l’ICC. Le recourant perçoit désormais un revenu mensuel net de l’ordre de CHF 3’000.-, en sa qualité de chauffeur indépendant. La situation financière de l’intéressé, qui est marié avec bientôt quatre enfants à charge selon ses allégations, peut être qualifiée de relativement difficile.</w:t>
      </w:r>
    </w:p>
    <w:p>
      <w:r>
        <w:t>f. Les directives vont « de pair avec le tableau des sanctions par infraction à la LTaxis » qui leur est annexé (« bases ») et « fixent des règles en matière de calcul de l’amende afin de garantir un exercice uniforme des sanctions en la matière » (« but »), la détermination du montant de l’amende tenant compte « de la gravité de chaque infraction », « des sanctions précédentes intervenues dans les trois ans qui précèdent », « du nombre de réalisation de chacune d’elles », du nombre d’infractions différentes commises », « de la situation financière personnelle ». Dans le tableau des sanctions, ad art. 5 à 8 ainsi que 35 al. 1 in fine aLTaxis, sous « autorisation d’exercer comme chauffeur ou dirigeant d’entreprise (cartes professionnelles) », il est indiqué, pour « transporter professionnellement des personnes sans être titulaire d’une carte professionnelle (tous types de cartes professionnelles) pour cause d’absence de réussite des examens, ou suspension, ou retrait de la carte professionnelle », une sanction comprise entre CHF 1'500.- et CHF 20'000.- (« + prolongation suspension ou retrait carte professionnelle si chauffeur déjà sur le coup de suspension ou retrait »), et, pour « transporter professionnellement des personnes sans requérir le document officiel attestant la réussite des examens (la carte professionnelle) », si cette infraction a duré jusqu’à douze mois, une sanction de CHF 200.- et, si elle a duré plus longtemps, CHF 400.-.</w:t>
      </w:r>
    </w:p>
    <w:p>
      <w:r>
        <w:t>g. Au regard notamment de ce tableau et compte tenu de l’ensemble des circonstances, y compris la réussite de l’examen au sens de l’art. 27 aLTaxis avant l’infraction non prescrite, la durée de la période d’activité en violation de l’aLTaxis et la prescription de la première infraction reprochée, ainsi que de la sévérité dont doit faire preuve l’autorité afin d’assurer le respect de la loi et de son large pouvoir d’appréciation, l’amende administrative doit être confirmée dans son principe, mais réduite au montant de CHF 400.-, lequel n’apparaît pas disproportionné.</w:t>
      </w:r>
    </w:p>
    <w:p>
      <w:r>
        <w:t>- 20/21 - A/3199/2018</w:t>
      </w:r>
    </w:p>
    <w:p>
      <w:r>
        <w:t>Par ailleurs, dans la mesure où, au regard du caractère infondé de son grief afférent au principe de la bonne foi, le recourant ne conteste en réalité pas les faits essentiels constitutifs des infractions retenues, il n’apparaît pas nécessaire de retourner le dossier au service pour que ce dernier sollicite un préavis de la commission de discipline selon l’art. 48 al. 1 aLTaxis (ATA/1212/2018 précité consid. 7f ; ATA/319/2018 du 10 avril 2018 consid. 11e ; ATA/38/2018 du 16 janvier 2018).</w:t>
      </w:r>
    </w:p>
    <w:p>
      <w:r>
        <w:rPr>
          <w:b/>
        </w:rPr>
        <w:t>E. 16</w:t>
      </w:r>
    </w:p>
    <w:p>
      <w:r>
        <w:t>Au vu de ce qui précède, le recours sera partiellement admis, la prescription des faits survenus le 19 novembre 2015 constatée, et la décision querellée réformée (art. 69 al. 3 1ère phr. LPA) en ce sens que le montant de l’amende administrative sera réduit à CHF 400.-, et confirmée pour le surplus.</w:t>
      </w:r>
    </w:p>
    <w:p>
      <w:r>
        <w:rPr>
          <w:b/>
        </w:rPr>
        <w:t>E. 17</w:t>
      </w:r>
    </w:p>
    <w:p>
      <w:r>
        <w:t>Vu l’issue du litige, un émolument – très réduit – de CHF 100.- sera mis à la charge du recourant, qui succombe pour l’essentiel (art. 87 al. 1 LPA). Une indemnité de procédure réduite de CHF 300.-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