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ATA/360/2005 vom 24. Mai 2005</w:t>
      </w:r>
    </w:p>
    <w:p>
      <w:r>
        <w:t>GE Cour de justice, 2005-05-24, FR</w:t>
      </w:r>
    </w:p>
    <w:p>
      <w:r>
        <w:rPr>
          <w:b/>
        </w:rPr>
        <w:t xml:space="preserve">Quelle: </w:t>
      </w:r>
      <w:r>
        <w:t>https://mcp.opencaselaw.ch/entscheid/ge_gerichte_ATA_360_2005</w:t>
      </w:r>
    </w:p>
    <w:p>
      <w:r>
        <w:t>FR: GE_GERICHTE ATA/360/2005 du 24 mai 2005</w:t>
      </w:r>
    </w:p>
    <w:p>
      <w:r>
        <w:t>IT: GE_GERICHTE ATA/360/2005 del 24 maggio 2005</w:t>
      </w:r>
    </w:p>
    <w:p>
      <w:pPr>
        <w:pStyle w:val="Heading2"/>
      </w:pPr>
      <w:r>
        <w:t>Erwägungen</w:t>
      </w:r>
    </w:p>
    <w:p>
      <w:r>
        <w:rPr>
          <w:b/>
        </w:rPr>
        <w:t>E. 7</w:t>
      </w:r>
    </w:p>
    <w:p>
      <w:r>
        <w:t>M. L.__________ a saisi le Tribunal administratif d’un recours le 26 janvier 2004, reprenant et développant son argumentation. Il avait utilisé son bureau d’architecte d’intérieur pour gérer ses immeubles, à défaut de pouvoir travailler dans sa profession. Auparavant, les immeubles étaient gérés par une régie. Depuis qu’il s’en occupait personnellement, les revenus des immeubles avaient augmenté notablement.</w:t>
      </w:r>
    </w:p>
    <w:p>
      <w:r>
        <w:t>Le contribuable a encore précisé que les deux immeubles comportaient cinquante-sept studios, ainsi que des parkings, ce qui impliquait un travail certain.</w:t>
      </w:r>
    </w:p>
    <w:p>
      <w:r>
        <w:rPr>
          <w:b/>
        </w:rPr>
        <w:t>E. 8</w:t>
      </w:r>
    </w:p>
    <w:p>
      <w:r>
        <w:t>Le 26 février 2004, l’AFC s’est opposée au recours, reprenant et développant son argumentation.</w:t>
      </w:r>
    </w:p>
    <w:p>
      <w:r>
        <w:rPr>
          <w:b/>
        </w:rPr>
        <w:t>E. 9</w:t>
      </w:r>
    </w:p>
    <w:p>
      <w:r>
        <w:t>A la demande des parties, un deuxième échange d’écritures a été autorisé.</w:t>
      </w:r>
    </w:p>
    <w:p>
      <w:r>
        <w:t>- 4/7 - A/156/2004</w:t>
      </w:r>
    </w:p>
    <w:p>
      <w:r>
        <w:t>M. L.__________ a insisté sur le fait que son travail n’était pas un hobby. Quant à l’administration, elle a persisté dans les termes de sa décision.</w:t>
      </w:r>
    </w:p>
    <w:p>
      <w:r>
        <w:rPr>
          <w:b/>
        </w:rPr>
        <w:t>E. 10</w:t>
      </w:r>
    </w:p>
    <w:p>
      <w:r>
        <w:t>Le 30 août 2004, les parties ont été entendues en comparution personnelle.</w:t>
      </w:r>
    </w:p>
    <w:p>
      <w:r>
        <w:t>M. L.__________ a exposé qu’il n’avait plus de mandat d’architecte d’intérieur depuis le début des années 1999. Sa secrétaire, qui s’occupait de la gestion des immeubles, avait travaillé à plein temps jusqu’en 1996 et elle avait depuis lors un taux d’occupation à 50%. Les mouvements dans les studios étaient importants ; près de la moitié se vidait et était réoccupée dans l’année. Les frais de gestion étaient calculés en fonction des mouvements annuels et simplement couverts par les montants imputés. Les revenus du cabinet d’architecte apparaissant dans la comptabilité concernaient la remise en état des studios en question.</w:t>
      </w:r>
    </w:p>
    <w:p>
      <w:r>
        <w:rPr>
          <w:b/>
        </w:rPr>
        <w:t>E. 11</w:t>
      </w:r>
    </w:p>
    <w:p>
      <w:r>
        <w:t>A la demande du Tribunal administratif, M. L.__________ a versé à la procédure, le 3 septembre 2004, divers documents comptables.</w:t>
      </w:r>
    </w:p>
    <w:p>
      <w:r>
        <w:t>Dans le courrier accompagnant ces documents, le contribuable a souligné que la gestion de ses immeubles requérait une infrastructure importante, notamment pour la recherche de locataires, la publication d’annonces, les visites, l’établissement des baux et la majoration des loyers, les états des lieux d’entrée et de sortie, les envois de bulletins de versement et la vérification des loyers encaissés, l’entretien et la remise en état des locaux, etc.</w:t>
      </w:r>
    </w:p>
    <w:p>
      <w:r>
        <w:rPr>
          <w:b/>
        </w:rPr>
        <w:t>E. 12</w:t>
      </w:r>
    </w:p>
    <w:p>
      <w:r>
        <w:t>Se déterminant au sujet de ces pièces le 30 septembre 2004, l’AFC a relevé que si un contribuable apportait la preuve que les charges engagées dans le cadre d’une activité de gestionnaire d’immeubles étaient liées à cette activité et que les dépenses comptabilisées étaient en relation directe avec l’acquisition ou le main- tien du chiffre d’affaires, celles-ci seraient admises au titre de charges commer- ciales, à charge du compte de résultats.</w:t>
      </w:r>
    </w:p>
    <w:p>
      <w:r>
        <w:t>Il ressortait des pièces que l’ensemble des dépenses déclarées au titre de charges de l’activité d’architecte d’intérieur étaient liées à cette activité, même si elles concernaient une intervention dans les studios appartenant à M. L.__________. La taxe professionnelle n’était pas calculée pour un professionnel de l’immobilier. La thèse soutenue par M. L.__________ était contredite par les documents produits et rédigés par son expert-comptable.</w:t>
      </w:r>
    </w:p>
    <w:p>
      <w:r>
        <w:rPr>
          <w:b/>
        </w:rPr>
        <w:t>E. 13</w:t>
      </w:r>
    </w:p>
    <w:p>
      <w:r>
        <w:t>De son côté, M. L.__________ a maintenu sa position le 25 octobre 2004. Il exerçait une activité commerciale de gestion de ses propres immeubles et assumait les charges liées à cette activité, telles que salaire d’une secrétaire et charges sociales, loyer d’un bureau, etc.</w:t>
      </w:r>
    </w:p>
    <w:p>
      <w:r>
        <w:t>- 5/7 - A/156/2004</w:t>
      </w:r>
    </w:p>
    <w:p>
      <w:r>
        <w:t>Enfin, les remarques de l’AFC au sujet de la taxe professionnelle étaient erronées, puisqu’elle taxait une partie du chiffre d’affaires sous le groupe profes- sionnel 140 « gérance d’immeubles » et ce, depuis plusieurs années. EN DROIT 1.</w:t>
      </w:r>
    </w:p>
    <w:p>
      <w:r>
        <w:t>Interjeté en temps utile devant la juridiction compétente, le recours est recevable (art. 56A de la loi sur l'organisation judiciaire du 22 novembre 1941 - LOJ - E 2 05; art. 63 al. 1 litt. a de la loi sur la procédure administrative du 12 septembre 1985 - LPA - E 5 10). 2. a. 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de périodes fiscales antérieures à l’année 2001. L’adap- tation de la législation fiscales aux exigences de la LHID est en effet dépourvue d’effet rétroactif, ce que le Tribunal administratif a d’ailleurs jugé récemment (ATA/29/2004 du 13 janvier 2004).</w:t>
      </w:r>
    </w:p>
    <w:p>
      <w:r>
        <w:t>b. Le présente litige concerne l’impôt cantonal et communal 1999. Il est donc soumis à la LCP dans sa teneur antérieure au 1er janvier 2001 (ci-après : aLCP) pour ce qui concerne les dispositions légales abrogées dès cette date. 3. a. Selon l’article 16 aLCP, l’impôt sur le revenu est perçu sur l’ensemble des revenus nets annuels des contribuables, sous la forme de prestations périodiques ou de versements en capital, tant en argent qu’en nature, et quelle qu’en soit l’origine. L’impôt est ainsi perçu sur l’ensemble des revenus nets du contribuable, quelle qu’en soit la source, les modalités d’acquisition et la forme (Mémorial des séances du Grand Conseil 1986 p. 1366).</w:t>
      </w:r>
    </w:p>
    <w:p>
      <w:r>
        <w:t>b. L’article 21 aLCP énumère exhaustivement les déductions admises sur les revenus bruts du contribuable. La nature et l’étendue de ces exceptions à l’impôt doivent être interprétées restrictivement (RF 1994 p. 600). L’alinéa 1 de cette disposition prévoit que les contribuables peuvent déduire les dépenses faites pour l’exercice de leur profession. 4. a. Selon le principe de la généralité de l’impôt, les déductions, y compris celles des dépenses afférentes à un revenu déterminé, sont soustraites du total du revenu brut et non pas de chacun des éléments du revenu qu’elles concernent (SJ 1964 p. 461). Cependant, il ne peut être fait de déduction lorsque le revenu est inexistant, étant donné la relation de nécessité qui doit exister entre un revenu déterminé et les dépenses consenties pour obtenir ce dernier (RDAF 1992 p. 275).</w:t>
      </w:r>
    </w:p>
    <w:p>
      <w:r>
        <w:t>- 6/7 - A/156/2004</w:t>
      </w:r>
    </w:p>
    <w:p>
      <w:r>
        <w:t>b. Conformément à la jurisprudence et à la doctrine, seuls les frais effectivement dépensés, naturellement et logiquement liés à la réalisation du revenu taxé, sont déductibles du revenu brut ; il ne peut s’agir ni de dépenses plus ou moins en corrélation avec l’exercice d’une profession lucrative, ni de frais de convenance personnelle ou destinés à rendre le travail plus facile et plus agréable, tout en étant plus ou moins en rapport avec l’activité exercée (ATA/11/1998 du 13 janvier 1998). La preuve de leur nécessité et de leur montant est indispensable ; elle incombe au contribuable.</w:t>
      </w:r>
    </w:p>
    <w:p>
      <w:r>
        <w:t>Il résulte de ce qui précède que seuls sont déductibles les frais d’acquisition du revenu entrant en compte pour le calcul de l’impôt, et dans la seule mesure où le contribuable n’aurait pu acquérir son revenu sans les avoir exposés. 5.</w:t>
      </w:r>
    </w:p>
    <w:p>
      <w:r>
        <w:t>En l’espèce, l’instruction de la cause a démontré que M. L.__________ n’exerce pas deux activités séparées, mais bien une seule, soit celle de gestionnaire de ses propres immeubles. Il effectue un travail de régisseur et, au vu de ses compétences, il intervient parfois comme architecte d’intérieur pour réaliser certains travaux ou pour répondre à des demandes particulières de certains locataires.</w:t>
      </w:r>
    </w:p>
    <w:p>
      <w:r>
        <w:t>En conséquence, les comptes des deux immeubles gérés par le contribuable et ceux de son bureau, appelé à tort « architecte d’intérieur », devront être consolidés afin d’avoir un compte de pertes et profit ainsi qu’un bilan fiscal uniques.</w:t>
      </w:r>
    </w:p>
    <w:p>
      <w:r>
        <w:t>C’est donc à tort que la structure comptable du recourant a gardé des traces de son activité passée d’architecte d’intérieur, qui avait certes été prédominante à une certaine époque, mais qu’il n’exerce plus en tant que telle. Il est en tout état nécessaire de tenir compte de la réalité économique pour procéder à la taxation.</w:t>
      </w:r>
    </w:p>
    <w:p>
      <w:r>
        <w:t>Dès lors, le recours sera admis et le dossier renvoyé à l’AFC pour qu’elle procède à une nouvelle taxation au sens des considérants. 6.</w:t>
      </w:r>
    </w:p>
    <w:p>
      <w:r>
        <w:t>Au vu de l’issue du litige, une indemnité de procédure, en CHF 1'500.- sera allouée à M. L.__________. Aucun émolument ne sera perçu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