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ATA/359/2009 vom 28. Juli 2009</w:t>
      </w:r>
    </w:p>
    <w:p>
      <w:r>
        <w:t>GE Cour de justice, 2009-07-28, FR</w:t>
      </w:r>
    </w:p>
    <w:p>
      <w:r>
        <w:rPr>
          <w:b/>
        </w:rPr>
        <w:t xml:space="preserve">Quelle: </w:t>
      </w:r>
      <w:r>
        <w:t>https://mcp.opencaselaw.ch/entscheid/ge_gerichte_ATA_359_2009</w:t>
      </w:r>
    </w:p>
    <w:p>
      <w:r>
        <w:t>FR: GE_GERICHTE ATA/359/2009 du 28 juillet 2009</w:t>
      </w:r>
    </w:p>
    <w:p>
      <w:r>
        <w:t>IT: GE_GERICHTE ATA/359/2009 del 28 luglio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a été interjeté en temps utile auprès du Tribunal administratif, l'avocate de la recourante s'étant fiée de bonne foi à la voie de droit mentionnée dans la décision du 3 avril 2009 (art. 56A de la loi sur l’organisation judiciaire du 22 novembre 1941 - LOJ - E 2 05 ; art. 63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Or, ladite décision citait expressément l'art. 90 OEC dont les al. 1 et 2 sont les suivants :</w:t>
      </w:r>
    </w:p>
    <w:p>
      <w:r>
        <w:t>"Les décisions de l'officier de l'état civil peuvent faire l'objet d'un recours devant l'autorité de surveillance.</w:t>
      </w:r>
    </w:p>
    <w:p>
      <w:r>
        <w:t>Les décisions de l'autorité de surveillance peuvent être attaquées devant les autorités cantonales compétentes ; il en va de même des décisions de l'autorité de surveillance rendues sur recours".</w:t>
      </w:r>
    </w:p>
    <w:p>
      <w:r>
        <w:t>Ainsi, le Tribunal administratif ne peut connaître que des décisions rendues par l'autorité de surveillance, soit par le DI (art. 5 de la loi sur l'état civil du 19 décembre 1953 - LEC - E 1 13 et 18 du règlement sur l'état civil du 29 novembre 2004 - REC - E 1 13.03), voire par le président de celui-ci (ATA/368/2002 du 25 juin 2002, annulé par ATF 129 III 656 mais confirmé sur le fond par arrêt de la Cour Européenne des Droits de l'Homme du 13 décembre 2007).</w:t>
      </w:r>
    </w:p>
    <w:p>
      <w:r>
        <w:t>Les modifications de la LOJ entrées en vigueur le ler janvier 2009, suite à l'adoption de l'art. 129 de la Constitution fédérale de la Confédération helvétique du 18 avril 1999 (Cst - RS 101), n'ont pas entraîné la suppression de cette autorité de surveillance, instituée par le droit fédéral. En l'espèce, celle-ci ne s'est pas prononcée, la décision du 3 avril 2009 faisant l'objet du recours émanant certes du DI mais de sa direction de l'état civil, laquelle ne constitue précisément pas l'autorité de surveillance.</w:t>
      </w:r>
    </w:p>
    <w:p>
      <w:r>
        <w:t>- 5/6 - A/1668/2009</w:t>
      </w:r>
    </w:p>
    <w:p>
      <w:r>
        <w:rPr>
          <w:b/>
        </w:rPr>
        <w:t>E. 3</w:t>
      </w:r>
    </w:p>
    <w:p>
      <w:r>
        <w:t>Le recours sera donc déclaré irrecevable et transmis à l'autorité compétente en application de l'art. 64 al. 2 LPA. Ce faisant, le tribunal de céans ne viole pas l'art. 29 al. l Cst qui interdit le formalisme excessif mais il permet au contraire le respect du double degré de contrôle institué par la loi (ATA/331/2009 du 30 juin 2009).</w:t>
      </w:r>
    </w:p>
    <w:p>
      <w:r>
        <w:t>Vu l'issue du litige, un émolument de CHF 500.- sera mis à la charge de l'intimé. Il ne sera pas alloué d'indemnité de procédure à la recourante, faute de conclusions en ce sens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