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ATA/358/2016 vom 26. April 2016</w:t>
      </w:r>
    </w:p>
    <w:p>
      <w:r>
        <w:t>GE Cour de justice, 2016-04-26, FR</w:t>
      </w:r>
    </w:p>
    <w:p>
      <w:r>
        <w:rPr>
          <w:b/>
        </w:rPr>
        <w:t xml:space="preserve">Quelle: </w:t>
      </w:r>
      <w:r>
        <w:t>https://mcp.opencaselaw.ch/entscheid/ge_gerichte_ATA_358_2016</w:t>
      </w:r>
    </w:p>
    <w:p>
      <w:r>
        <w:t>FR: GE_GERICHTE ATA/358/2016 du 26 avril 2016</w:t>
      </w:r>
    </w:p>
    <w:p>
      <w:r>
        <w:t>IT: GE_GERICHTE ATA/358/2016 del 26 aprile 2016</w:t>
      </w:r>
    </w:p>
    <w:p>
      <w:pPr>
        <w:pStyle w:val="Heading2"/>
      </w:pPr>
      <w:r>
        <w:t>Regeste</w:t>
      </w:r>
    </w:p>
    <w:p>
      <w:r>
        <w:t>Résumé: Amende infligée par le service du commerce à un chauffeur de taxi pour avoir contrevenu à plusieurs reprises à ses devoirs professionnels. La prescription est acquise pour trois des infractions constatées. Trois autres infractions au devoir général de courtoisie demeurent néanmoins établies. Vu ce qui précède, le recours est partiellement admis et le dossier est retourné au service du commerce pour nouvelle décision.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l'intimé de prononcer une amende et un avertissement à l'encontre du recourant, le sanctionnant ainsi pour six infractions relatives aux faits des 2 février, 21 mars, 26 mars et 29 septembre 2013, ainsi que des 1er mars et 25 septembre 2014.</w:t>
      </w:r>
    </w:p>
    <w:p>
      <w:r>
        <w:rPr>
          <w:b/>
        </w:rPr>
        <w:t>E. 3</w:t>
      </w:r>
    </w:p>
    <w:p>
      <w:r>
        <w:t>a. La loi a pour objet d’assurer un exercice des professions de transport de personnes au moyen de voitures automobiles et une exploitation des services de taxis et de limousines conformes, notamment aux exigences de la sécurité</w:t>
      </w:r>
    </w:p>
    <w:p>
      <w:r>
        <w:t>- 9/14 - A/139/2016 publique, de la moralité publique, du respect de l’environnement et de la loyauté dans les transactions commerciales ainsi qu’aux règles relatives à l’utilisation du domaine public (art. 1 de la loi sur les taxis et limousines (transport professionnel de personnes au moyen de voitures automobiles) du 21 janvier 2005 - LTaxis - H 1 30, entrée en vigueur le 15 mai 2005).</w:t>
      </w:r>
    </w:p>
    <w:p>
      <w:r>
        <w:t>b. En particulier, les chauffeurs sont tenus par un devoir général de courtoisie tant à l’égard de leurs clients, du public, de leurs collègues que des autorités. Selon les art. 34 al. 1 LTaxis et 45 al. 1 du règlement d’exécution de la loi sur les taxis et limousines (transport professionnel de personnes au moyen de voitures automobiles) du 4 mai 2005 (RTaxis - H 1 30.01), ils doivent avoir une conduite et une tenue correcte.</w:t>
      </w:r>
    </w:p>
    <w:p>
      <w:r>
        <w:t>c. Le département de la sécurité et de l’économie (ci-après : le département), soit pour lui le Scom à teneur de l’art. 1 al. 1 et 2 RTaxis, peut infliger une amende administrative de CHF 100.- à CHF 20'000.- à toute personne ayant enfreint les prescriptions de la LTaxis ou de ses dispositions d’exécution (art. 45 al. 1 LTaxis).</w:t>
      </w:r>
    </w:p>
    <w:p>
      <w:r>
        <w:t>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et les références citées ; Pierre MOOR/Étienne POLTIER, Droit administratif : les actes administratifs et leur contrôle, vol. 2, 2011, ch. 1.4.5.5 p. 160 s).</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w:t>
      </w:r>
    </w:p>
    <w:p>
      <w:r>
        <w:t>- 10/14 - A/139/2016 de trois ans (ATA/263/2016 précité ; ATA/1062/2015 du 6 octobre 2015 et les références citées).</w:t>
      </w:r>
    </w:p>
    <w:p>
      <w:r>
        <w:t>c. En l’espèce, la prescription est acquise pour les infractions des 2 février, 21 mars et 26 mars 2013, sanctionnées par l'intimé en décembre 2015 seulement, ce qui laissait moins de trois mois à la chambre de céans pour instruire le recours du 14 janvier 2016.</w:t>
      </w:r>
    </w:p>
    <w:p>
      <w:r>
        <w:rPr>
          <w:b/>
        </w:rPr>
        <w:t>E. 5</w:t>
      </w:r>
    </w:p>
    <w:p>
      <w:r>
        <w:t>Reste à déterminer si le Scom était fondé à retenir à l'encontre du recourant les infractions des 29 septembre 2013, 1er mars et 25 septembre 2014, pour lesquelles il devrait le cas échéant être sanctionné.</w:t>
      </w:r>
    </w:p>
    <w:p>
      <w:r>
        <w:rPr>
          <w:b/>
        </w:rPr>
        <w:t>E. 6</w:t>
      </w:r>
    </w:p>
    <w:p>
      <w:r>
        <w:t>Selon le recourant, la violation de son devoir général de courtoisie ne pouvait pas lui être reprochée pour les événements du 29 septembre 2013, compte tenu des circonstances.</w:t>
      </w:r>
    </w:p>
    <w:p>
      <w:r>
        <w:t>En l'espèce toutefois, il ressort du dossier que cette infraction a été dénoncée à l'intimé par le biais d'un rapport de renseignements, les faits ayant été constatés par des agents de police. Or, conformément à la jurisprudence constante de la chambre administrative, celle-ci accorde généralement une pleine valeur probante aux constatations figurant dans un rapport de police, établi par des agents assermentés (ATA/1062/2015 précité et les références citées), sauf si des éléments permettent de s’en écarter, ce qui n'est pas le cas en l'occurrence. En effet, l'intimé a sanctionné administrativement le recourant pour avoir utilisé à l'encontre d'un usager de la route un spray incapacitant, ce qui est établi par le rapport de police et que le recourant ne conteste pas. Les explications de ce dernier quant aux circonstances du conflit et au fait qu'il se serait servi de cette arme dans le seul but de se défendre n'emportent pas la conviction. Celles-ci sont d'ailleurs en contradiction avec les faits tels que décrits dans le rapport précité, notamment en ce qui concerne l'identité de la personne ayant appelé la police. De plus, il n'apparaît pas que le recourant n'aurait pas eu d'autre solution que d'agir de la sorte, en préférant par exemple cesser immédiatement son trajet plutôt que de rouler dans ces conditions durant près d'une heure ou en faisant appel à la police tout en restant enfermé dans son véhicule. En tout état, les allégations du recourant, de même que le fait que l'autorité pénale n'aurait pas donné de suite à cette affaire, ne s'avèrent pas pertinents, seul le manquement de devoir à la courtoisie, constaté par les policiers, en violation des art. 34 al. 1 LTaxis et 45 al. 1 RTaxis, étant retenu.</w:t>
      </w:r>
    </w:p>
    <w:p>
      <w:r>
        <w:t>Par conséquent, le grief doit être écarté et l'infraction retenue.</w:t>
      </w:r>
    </w:p>
    <w:p>
      <w:r>
        <w:rPr>
          <w:b/>
        </w:rPr>
        <w:t>E. 7</w:t>
      </w:r>
    </w:p>
    <w:p>
      <w:r>
        <w:t>Le recourant reproche à l'intimé de n'avoir pas procédé à une instruction diligente avant de le sanctionner pour les faits du 1er mars 2014, ceux-ci ayant été dénoncés par un agent de sécurité l'ayant déjà dénoncé à plusieurs reprises.</w:t>
      </w:r>
    </w:p>
    <w:p>
      <w:r>
        <w:t>- 11/14 - A/139/2016</w:t>
      </w:r>
    </w:p>
    <w:p>
      <w:r>
        <w:t>En l'occurrence, le recourant ne conteste pas en tant que tel avoir insulté un agent de sécurité à plusieurs reprises, avoir crié pour manifester son désaccord avec le système mis en place, et avoir causé dans ce contexte un scandale devant plusieurs personnes, agents de sécurité, collègues et clients. Dans ses explications au sujet de cet incident tout au long de la procédure, il a seulement allégué ne pas s'être adressé à une cliente en hurlant et surtout être victime d'un acharnement de la part de personnes qui le dénonceraient régulièrement et ne seraient ainsi pas crédibles. Or, s'il appert que l'agent de sécurité ayant dénoncé l'infraction du 1er mars 2014 est le même que celui ayant dénoncé les faits du 26 mars 2013, aucun élément ne permet de mettre en cause le crédit de ses propos, pas même l'attestation non datée produite dans le cadre du recours, celle-ci n'ayant aucune valeur probante dans la mesure où la personne l'ayant rédigée ne peut pas être identifiée et où la mention faite des événements des 21 et 26 mars 2013 est en contradiction totale avec la réalité, ces deux incidents ayant été dénoncés par deux personnes différentes. Il n'est en outre pas surprenant qu'un agent de sécurité travaillant à l'aéroport dénonce deux fois, à une année d'intervalle, un chauffeur de taxi exerçant régulièrement son activité au même endroit. De plus, le recourant affirme sans le prouver qu'il serait victime d'un acharnement de la part de certaines personnes, qu'il ne désigne au demeurant pas, ce qui ne permet pas de remettre en cause ce qui précède. Dans ces circonstances, il s'avère que le recourant a bel et bien manqué à son devoir général de courtoisie au sens des art. 34 al. 1 LTaxis et 45 al. 1 RTaxis le 1er mars 2014 en insultant un agent de sécurité, en criant et en créant par son comportement agressif un scandale en présence de plusieurs personnes.</w:t>
      </w:r>
    </w:p>
    <w:p>
      <w:r>
        <w:t>Partant, cette infraction est également établie.</w:t>
      </w:r>
    </w:p>
    <w:p>
      <w:r>
        <w:rPr>
          <w:b/>
        </w:rPr>
        <w:t>E. 8</w:t>
      </w:r>
    </w:p>
    <w:p>
      <w:r>
        <w:t>Enfin, le recourant fait grief à l'intimé de l'avoir sanctionné pour l'infraction commise le 25 septembre 2014 avant que l'autorité pénale ne se soit prononcée.</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Les autorités administratives et les juridictions administratives saisies d’une question préjudicielle sont toutefois liées par les décisions de l’organe compétent qui l’ont résolue avec force de chose jugée (art. 14 al. 2 LPA).</w:t>
      </w:r>
    </w:p>
    <w:p>
      <w:r>
        <w:t>b. L’art. 14 LPA est cependant une norme potestative et son texte clair ne prévoit pas la suspension systématique de la procédure chaque fois qu’une autorité civile, pénale ou administrative est parallèlement saisie (ATA/206/2015 du 24 février 2015 consid. 2c ; ATA/801/2014 du 14 octobre 2014 consid. 8b ;</w:t>
      </w:r>
    </w:p>
    <w:p>
      <w:r>
        <w:t>- 12/14 - A/139/2016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(ATA/801/2014 du 14 octobre 2014 consid. 8b ; ATA/445/2012 du 30 juillet 2012 consid. 2b ; ATA/21/2006 du 17 janvier 2006 consid. 5a).</w:t>
      </w:r>
    </w:p>
    <w:p>
      <w:r>
        <w:t>c. En l'espèce, le fait que le recourant ait eu une altercation avec un autre chauffeur de taxi le 25 septembre 2014 à l'aéroport et l'ait menacé en se munissant d'une matraque télescopique qui se trouvait dans son véhicule est établi par un rapport de renseignements émanant d'agents de police assermentés. Conformément à la jurisprudence constante de la chambre de céans précédemment citée, une pleine valeur probante doit être accordée à ce rapport et, en l'absence d'éléments permettant de retenir le contraire, ces faits doivent être considérés comme établis. Par ailleurs, le recourant ne les conteste pas directement, son grief portant exclusivement sur la suspension de la procédure. Toutefois, dans la mesure où son comportement constitue, dans le cadre de la procédure administrative, une violation de son devoir général de courtoisie au sens des art. 34 al. 1 LTaxis et 45 al. 1 RTaxis, la suspension de l'instruction par l'intimé jusqu'à droit connu dans la procédure pénale ne s'imposait pas. Le Scom était dès lors fondé à considérer cet incident comme établi et à sanctionner administrativement le recourant pour une telle infraction.</w:t>
      </w:r>
    </w:p>
    <w:p>
      <w:r>
        <w:t>Ce grief sera par conséquent également écarté.</w:t>
      </w:r>
    </w:p>
    <w:p>
      <w:r>
        <w:rPr>
          <w:b/>
        </w:rPr>
        <w:t>E. 9</w:t>
      </w:r>
    </w:p>
    <w:p>
      <w:r>
        <w:t>Compte tenu de ce qui précède, reste à examiner si l'intimé est fondé à sanctionner le recourant pour les infractions commises.</w:t>
      </w:r>
    </w:p>
    <w:p>
      <w:r>
        <w:t>Il est nécessaire dans ce contexte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(ATA/1062/2015 précité et les références citées). La juridiction de céans ne la censure qu’en cas d’excès (ATA/160/2009 du 31 mars 2009). Enfin, l’amende doit respecter le principe de la proportionnalité</w:t>
      </w:r>
    </w:p>
    <w:p>
      <w:r>
        <w:t>- 13/14 - A/139/2016 (art. 36 al. 3 Cst. ; ATA/533/2010 du 4 août 2010 ; ATA/201/2010 du 23 mars 2010).</w:t>
      </w:r>
    </w:p>
    <w:p>
      <w:r>
        <w:t>En l'espèce, dans la mesure où en l'état, sur les six infractions dont a tenu compte l'intimé dans sa décision attaquée pour prononcer la sanction, en particulier pour fixer le montant de l'amende administrative à CHF 2'000.-, seules trois infractions restent établies et doivent être sanctionnées, le recourant ayant manqué à son devoir général de courtoisie les 29 septembre 2013, 1er mars et 25 septembre 2014, il appartiendra au Scom d'en tenir compte pour déterminer la sanction dans une nouvelle décision à rendre, après consultation de la commission de discipline.</w:t>
      </w:r>
    </w:p>
    <w:p>
      <w:r>
        <w:rPr>
          <w:b/>
        </w:rPr>
        <w:t>E. 10</w:t>
      </w:r>
    </w:p>
    <w:p>
      <w:r>
        <w:t>C’est toutefois le lieu de relever que l’avertissement ne figure pas parmi les sanctions et mesures prévues aux art. 45 à 47 LTaxis et ne peut donc en avoir la portée, en particulier comme antécédent.</w:t>
      </w:r>
    </w:p>
    <w:p>
      <w:r>
        <w:rPr>
          <w:b/>
        </w:rPr>
        <w:t>E. 11</w:t>
      </w:r>
    </w:p>
    <w:p>
      <w:r>
        <w:t>Au vu de ce qui précède, le recours sera admis partiellement. La décision litigieuse sera annulée et le dossier retourné au Scom pour nouvelle décision au sens des considérants qui précèdent.</w:t>
      </w:r>
    </w:p>
    <w:p>
      <w:r>
        <w:t>Vu l'issue du litige, un émolument réduit à CHF 400.- sera mis à la charge du recourant, qui succombe en partie (art. 87 al. 1 LPA). Une indemnité de procédure de CHF 400.-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