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ATA/358/2012 vom 5. Juni 2012</w:t>
      </w:r>
    </w:p>
    <w:p>
      <w:r>
        <w:t>GE Cour de justice, 2012-06-05, FR</w:t>
      </w:r>
    </w:p>
    <w:p>
      <w:r>
        <w:rPr>
          <w:b/>
        </w:rPr>
        <w:t xml:space="preserve">Quelle: </w:t>
      </w:r>
      <w:r>
        <w:t>https://mcp.opencaselaw.ch/entscheid/ge_gerichte_ATA_358_2012</w:t>
      </w:r>
    </w:p>
    <w:p>
      <w:r>
        <w:t>FR: GE_GERICHTE ATA/358/2012 du 5 juin 2012</w:t>
      </w:r>
    </w:p>
    <w:p>
      <w:r>
        <w:t>IT: GE_GERICHTE ATA/358/2012 del 5 giugno 2012</w:t>
      </w:r>
    </w:p>
    <w:p>
      <w:pPr>
        <w:pStyle w:val="Heading2"/>
      </w:pPr>
      <w:r>
        <w:t>Erwägungen</w:t>
      </w:r>
    </w:p>
    <w:p>
      <w:r>
        <w:rPr>
          <w:b/>
        </w:rPr>
        <w:t>E. 1</w:t>
      </w:r>
    </w:p>
    <w:p>
      <w:r>
        <w:t>Interjeté en temps utile devant la juridiction compétente, le recours est recevable (art. 131 et 132 al. 2 de la loi sur l’organisation judiciaire du 26 septembre 2010 - LOJ - E 2 05 ; art. 62 al. 1 let. a de la loi sur la procédure administrative du 12 septembre 1985 - LPA - E 5 10).</w:t>
      </w:r>
    </w:p>
    <w:p>
      <w:r>
        <w:rPr>
          <w:b/>
        </w:rPr>
        <w:t>E. 2</w:t>
      </w:r>
    </w:p>
    <w:p>
      <w:r>
        <w:t>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telles que définies au chapitre III, dont l’art. 5 fait partie, dans un délai maximal de six ans après l’entrée en vigueur de l’accord. Selon l’art. 15 HarmoS, l’assemblée plénière de la CDIP décide de la date d’abrogation de l’art. 2 du CICS, qui prévoit notamment que l’âge d’entrée à l’école est fixé à 6 ans révolus au 30 juin, les cantons pouvant avancer ou retarder cette date dans une limite de quatre mois. Au 4 avril 2012, l’art. 2 CICS n’avait pas été abrogé (Recueil des bases légales de la CDIP consultable sur le site : http://www.cdip.ch/dyn/11703.php).</w:t>
      </w:r>
    </w:p>
    <w:p>
      <w:r>
        <w:t>- 6/9 - A/572/2012</w:t>
      </w:r>
    </w:p>
    <w:p>
      <w:r>
        <w:t>Dans son communiqué de presse du 13 mai 2009 annonçant l’entrée en vigueur d’HarmoS au 1er août 2009, la CDIP a relevé que « le jour de référence pour l’entrée à l’école obligatoire ne pourra plus varier comme aujourd’hui au sein d’une fourchette de huit mois. Pour les cantons concordataires, l’âge de l’enfant au 31 juillet déterminera son entrée à l’école enfantine (il devra avoir fêté son 4ème anniversaire avant cette date). Les parents conserveront la possibilité, moyennant une demande, de faire avancer ou repousser l’entrée à l’école de leur enfant ».</w:t>
      </w:r>
    </w:p>
    <w:p>
      <w:r>
        <w:rPr>
          <w:b/>
        </w:rPr>
        <w:t>E. 3</w:t>
      </w:r>
    </w:p>
    <w:p>
      <w:r>
        <w:t>En même temps qu’HarmoS est entrée en vigueur la convention scolaire romande du 21 juin 2007 (CSR - C1 07), dont le but est notamment d’instituer et de renforcer l’espace romand de formation, en application d’HarmoS (art. 1 al. 1 CSR). Elle comporte des domaines dans lesquels la coopération entre les cantons est obligatoire et fait l’objet d’une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w:t>
      </w:r>
    </w:p>
    <w:p>
      <w:r>
        <w:rPr>
          <w:b/>
        </w:rPr>
        <w:t>E. 4</w:t>
      </w:r>
    </w:p>
    <w:p>
      <w:r>
        <w:t>Sur demande des parents et sous leur responsabilité, le département peut, exceptionnellement et pour de justes motifs, retarder d’une année scolaire l’entrée d’un élève à l’école obligatoire ».</w:t>
      </w:r>
    </w:p>
    <w:p>
      <w:r>
        <w:t>b. L’aRDAge a été abrogé et remplacé par le RDAge, texte qui ne contient plus aucune disposition traitant des dispenses simples accordées au début de l’enseignement obligatoire.</w:t>
      </w:r>
    </w:p>
    <w:p>
      <w:r>
        <w:t>c. Le PL 10884 est, au jour du prononcé du présent arrêt, en traitement devant le Grand-Conseil.</w:t>
      </w:r>
    </w:p>
    <w:p>
      <w:r>
        <w:t>- 7/9 - A/572/2012</w:t>
      </w:r>
    </w:p>
    <w:p>
      <w:r>
        <w:rPr>
          <w:b/>
        </w:rPr>
        <w:t>E. 5</w:t>
      </w:r>
    </w:p>
    <w:p>
      <w:r>
        <w:t>En l’espèce, T______ est née le 17 août 2008. Elle est soumise au régime d’admission à l’école prévue par l’art. 11 LIP. Cette disposition ne donne pas droit à l’examen d’une dérogation. Sous cet angle, l’option prise par le Conseil d’Etat d’imposer, dès la rentrée scolaire 2012, un respect strict de la condition de l’âge est conforme tant au texte concordataire qu’à ceux de la CRS et de la LIP. Le DIP a ainsi refusé à juste titre d’entrer en matière sur la demande de dérogation et le texte légal clair ne lui laissait aucun pouvoir d’appréciation.</w:t>
      </w:r>
    </w:p>
    <w:p>
      <w:r>
        <w:rPr>
          <w:b/>
        </w:rPr>
        <w:t>E. 6</w:t>
      </w:r>
    </w:p>
    <w:p>
      <w:r>
        <w:t>Les recourants soutiennent que le refus de dérogation de l’administration contreviendrait au principe de la bonne foi.</w:t>
      </w:r>
    </w:p>
    <w:p>
      <w:r>
        <w:t>Découlant directement de l'art. 9 de la Constitution fédérale de la Confédération suisse du 18 avril 1999 (Cst. - RS 101 - cf. aussi art. 4 aCst.)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p. 170 ; 128 II 112 consid. 10b/aa p. 125 ;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pp. 636/637 ; 129 I 161 consid. 4.1 p. 170 ; 122 II 113 consid. 3b/cc p. 123 et les références citées).</w:t>
      </w:r>
    </w:p>
    <w:p>
      <w:r>
        <w:t>En l’espèce, c’est en vain que l’on recherche, dans les communications de l’administration, un quelconque engagement. La lettre adressée aux parents en 2009 indiquait sans équivoque que les enfants né après le 31 juillet 2008 ne bénéficieraient plus de dérogation lors de la rentrée scolaire 2012. Le courrier reçu par les recourants lors de la rentrée scolaire 2011 était distribué aux enfants qui avaient pris ou repris l’école et ne comportait pas d’information concernant la question litigieuse dans le présent arrêt.</w:t>
      </w:r>
    </w:p>
    <w:p>
      <w:r>
        <w:t>Ce grief sera donc écarté.</w:t>
      </w:r>
    </w:p>
    <w:p>
      <w:r>
        <w:rPr>
          <w:b/>
        </w:rPr>
        <w:t>E. 7</w:t>
      </w:r>
    </w:p>
    <w:p>
      <w:r>
        <w:t>Au vu de ce qui précède, le recours sera rejeté. Un émolument de CHF 400.- sera mis à la charge des recourants, pris conjointement et solidairement. Aucune indemnité de procédure ne leur sera allouée (art. 87 LPA). * * * * *</w:t>
      </w:r>
    </w:p>
    <w:p>
      <w:r>
        <w:t>- 8/9 - A/572/2012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