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ATA/356/2024 vom 12. März 2024</w:t>
      </w:r>
    </w:p>
    <w:p>
      <w:r>
        <w:t>GE Cour de justice, 2024-03-12, FR</w:t>
      </w:r>
    </w:p>
    <w:p>
      <w:r>
        <w:rPr>
          <w:b/>
        </w:rPr>
        <w:t xml:space="preserve">Quelle: </w:t>
      </w:r>
      <w:r>
        <w:t>https://mcp.opencaselaw.ch/entscheid/ge_gerichte_ATA_356_2024</w:t>
      </w:r>
    </w:p>
    <w:p>
      <w:r>
        <w:t>FR: GE_GERICHTE ATA/356/2024 du 12 mars 2024</w:t>
      </w:r>
    </w:p>
    <w:p>
      <w:r>
        <w:t>IT: GE_GERICHTE ATA/356/2024 del 12 marzo 2024</w:t>
      </w:r>
    </w:p>
    <w:p>
      <w:pPr>
        <w:pStyle w:val="Heading2"/>
      </w:pPr>
      <w:r>
        <w:t>Regeste</w:t>
      </w:r>
    </w:p>
    <w:p>
      <w:r>
        <w:t>Résumé: Un indice de pondération d'un sous-critère de 30,77% sur les 40% attribués au critère du prix, correspondant à cinq fois celui d'un autre sous-critère et à plus de cinq fois la pondération d'un des critères principaux, sort de l'ordinaire car inattendu par les soumissionnaires. Dès lors, une telle différence de pondération substantielle doit être préalablement annoncée. À défaut, il y a une violation du principe de transparence. L'insuffisance, voire l'inexistence de la justification de l'attribution d'un poids aussi prépondérant à un sous-critère confine à une violation de l'interdiction de l'arbitraire. Admission partielle du recours et renvoi à l'adjudicateur pour nouvelle décision.</w:t>
      </w:r>
    </w:p>
    <w:p>
      <w:pPr>
        <w:pStyle w:val="Heading2"/>
      </w:pPr>
      <w:r>
        <w:t>Erwägungen</w:t>
      </w:r>
    </w:p>
    <w:p>
      <w:r>
        <w:rPr>
          <w:b/>
        </w:rPr>
        <w:t>E. 1</w:t>
      </w:r>
    </w:p>
    <w:p>
      <w:r>
        <w:t>Le recours a été interjeté en temps utile devant la juridiction compétente (art. 132 de la loi sur l'organisation judiciaire du 26 septembre 2010 - LOJ - E 2 05 ; art. 15 al. 1bis let. d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rPr>
          <w:b/>
        </w:rPr>
        <w:t>E. 2</w:t>
      </w:r>
    </w:p>
    <w:p>
      <w:r>
        <w:t>Il convient, en premier lieu, d'examiner la question de la qualité pour recourir de la recourante. 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de la loi sur la procédure administrative du 12 septembre 1985 (LPA - E 5 10 ; ATA/871/2023 du 22 août 2023 consid. 1.3). 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(ATA/974/2022 du 27 septembre 2022 consid. 3a ; ATA/634/2014 du 19 août 2014 consid. 2 ; Stéphane GRODECKI/Romain JORDAN, Code annoté de procédure administrative genevoise, 2017, n. 148 ad art. 8 LPA). La fusion déploie ses effets dès son inscription au registre du commerce. Dès ce moment, l'ensemble des actifs et passifs de la société transférante sont transférés de par la loi à la société reprenante (art. 22 al. 1 de la loi fédérale sur la fusion, la scission, la transformation et le transfert de patrimoine du 3 octobre 2003 - LFus -</w:t>
      </w:r>
    </w:p>
    <w:p>
      <w:r>
        <w:t>- 8/17 - A/3632/2023 RS 221.301). Sous l'angle procédural, la fusion a pour conséquence la substitution de par le droit fédéral (ATA/634/2014 du 19 août 2014 consid. 2). La société transférante est radiée du registre du commerce par l’inscription de la fusion (art. 21 al. 3 Lfus). En l'espèce, B______ a été radiée du registre du commerce par suite de fusion, avec effet dès le 29 septembre 2023. À cette date, elle a cessé d'exister, conformément aux dispositions et principes rappelés ci-dessus, et A______ lui a succédé ipso jure dans l'ensemble de ses droits et obligations. Dans la mesure où l'inscription de la fusion et le dépôt de l'offre de B______ ont eu lieu le même jour, la chambre de céans retiendra, afin d'éviter tout formalisme excessif, que lesdits droits et obligations comprenant notamment le droit de partie à la procédure d'appel d'offres ont passé le 29 septembre 2023 de B______ à A______. Ainsi, A______ a succédé à la précitée et repris sa position dans la procédure devant l'autorité précédente. A______ disposant de la qualité pour recourir, le recours sera déclaré recevable.</w:t>
      </w:r>
    </w:p>
    <w:p>
      <w:r>
        <w:rPr>
          <w:b/>
        </w:rPr>
        <w:t>E. 3</w:t>
      </w:r>
    </w:p>
    <w:p>
      <w:r>
        <w:t>Se pose la question de la recevabilité de l'offre déposée par la recourante. À teneur de l’art. 42 RMP, l'offre est écartée d'office notamment lorsque le soumissionnaire a rendu une offre tardive, incomplète ou non conforme aux exigences ou au cahier des charge (al. 1 let. a) ; les offres écartées ne sont pas évaluées ; l'autorité adjudicatrice rend une décision d'exclusion motivée, notifiée par courrier à l'intéressé, avec mention des voies de recours (al. 3). L’attribution des marchés publics suppose la réalisation de conditions qui peuvent se classer dans différentes catégories (ATF 140 I 285 consid. 5.1).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(Peter GALLI/André MOSER/Elisabeth LANG/Marc STEINER, Praxis des öffentlichen Beschaffungsrechts, 3e éd., 2013, n. 582 p. 250 s.). En second lieu, interviennent les exigences relatives à l'évaluation des offres. Il s'agit des critères d'adjudication ou d'attribution. Ces critères se rapportent en principe directement à la prestation requise et indiquent au soumissionnaire comment l'offre économiquement la plus avantageuse sera évaluée et choisie (ATF 129 I 313 consid. 8.1 p. 324). La non-réalisation d'un critère d'adjudication n'est pas</w:t>
      </w:r>
    </w:p>
    <w:p>
      <w:r>
        <w:t>- 9/17 - A/3632/2023 éliminatoire, mais peut être compensée par la pondération avec d'autres critères d'adjudication (ATF 139 II 489 consid. 2.2.1 et 2.2.4 p. 494). Le droit des marchés publics est formaliste, ce que la chambre administrative a rappelé à plusieurs reprises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(ATA/188/2021 du 23 février 2021 consid. 5 ; ATA/1208/2020 du 1er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(ATA/243/2020 précité consid. 4d ; ATA/794/2018 du 7 août 2018 et les références citées).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(arrêts du Tribunal fédéral 2C_418/2014 du 20 août 2014 consid. 4 ; 2C_197 et 2C_198/2010 du 30 avril 2010 consid. 6). La chambre de céans a déjà eu l'occasion de rappeler que le transfert d’activité puis la fusion par absorption résultent d'un choix entrepreneurial et ressortissent à la vie économique ordinaire des entreprises. Les effets de la fusion ne peuvent pas être retenus pour une période antérieure à son inscription au registre du commerce. Il en va ainsi dans la mesure où les deux sociétés étaient jusqu’à cette opération des entités juridiques distinctes ayant chacune une existence propre (ATA/543/2023 du 23 mai 2023 consid. 4). En droit des marchés publics, il a été admis, pour ce qui est de la signature de l'offre par une personne ne disposant pas du pouvoir de représentation, qu'un tel manquement n'est pas nécessairement sanctionné d'une exclusion. L'autorité impartit un délai pour déposer une procuration en faveur de la personne qui a signé sans droit (arrêt TA TI 52.2017.105 du 26 septembre 2017, in DC 2018 I p. 49 n. 33). À teneur de l'art. 936b al. 1 de la loi fédérale complétant le code civil suisse du 30 mars 1911 (Livre cinquième : Droit des obligations - CO - RS 220), dès lors qu'un fait a été inscrit au registre du commerce, nul ne peut se prévaloir de ne pas en avoir eu connaissance. Selon la jurisprudence, les faits qui sont inscrits dans le registre du commerce, et qui ont été publiés conformément à la loi, sont réputés de notoriété publique. Les dispositions sur les effets de publicité de l’inscription ont été appliquées dans les relations de droit public entre les sujets de l’inscription et les autorités</w:t>
      </w:r>
    </w:p>
    <w:p>
      <w:r>
        <w:t>- 10/17 - A/3632/2023 administratives, ce qui revient à dire que ces dernières peuvent également constituer des tiers auxquels les effets d'une inscription sont opposables (ATF 122 V 270 consid. 5b/aa ; arrêts du Tribunal fédéral 8C_719/2009 du 10 février 2010 consid. 4 ; 8C_293/2008 du 30 juillet 2009 consid. 4.1 et 4.6 ; voir dans ce sens le Message concernant la modification du code des obligations [droit du registre du commerce] du 15 avril 2015, selon lequel les effets de la publicité sont opposables tant aux particuliers qu’aux autorités [FF 2015 3270]). En l'espèce, les parties intimées font valoir que l'offre de la recourante n'était pas recevable, au motif qu'elle ne remplissait ni les conditions de participation ni les critères d'aptitude, les attestations produites à cet égard concernant B______ et non la recourante. Un tel raisonnement ne saurait être suivi, car cela reviendrait à admettre que les effets de la fusion peuvent être pris en compte avant son inscription, contrairement aux dispositions légales et principes rappelés plus haut. Aussi, jusqu'à ce que l'inscription de la fusion par absorption soit effective le 29 septembre 2023, il appartenait uniquement à la société transférante de produire les documents attestant qu'elle satisfaisait aux critères d'aptitude et de qualification, à défaut d'indications contraires figurant dans le dossier d'appel d'offres. Il y a même lieu d'admettre que la recourante pouvait se prévaloir des attestations afférentes à B______. Contrairement à ce que soutient l'adjudicataire, les personnes autorisées à représenter B______ pouvaient valablement signer l'offre jusqu'à ce que l'inscription de la fusion devienne effective. Même à supposer que l'un des signataires de l'offre de la recourante n'était plus autorisé à signer à son nom et pour son compte, l'autorité intimée aurait dû l'interpeller en lui accordant un délai pour régulariser la situation. Faute pour celle-ci d'avoir procédé de la sorte, la chambre de céans retiendra, afin d'éviter tout formalisme excessif, que l'offre de la recourante a été valablement signée. Eu égard à l'opposabilité de l'inscription au registre du commerce aux tiers, l'autorité intimée invoque en vain n'avoir pas été informée de la fusion. En tant qu'elle devait procéder à l'examen de la recevabilité des offres, elle avait une incombance de consulter le registre du commerce, étant relevé qu'il avait été fait mention dans l'offre de la recourante d'une procédure de fusion en cours avec indication de la raison sociale que porterait la nouvelle société à l'issue du processus. Quoiqu'en pensent les parties intimées, cette information aurait pu éveiller la curiosité de l'autorité intimée et la conduire à procéder des vérifications suivies, en cas de vice formel, d'une invitation adressée à la recourante en vue de sa correction, conformément au principe de l'interdiction du formalisme excessif. Au vu de ce qui précède et que l'offre de la recourante a été évaluée, à savoir qu'elle n'a pas fait l'objet d'une décision d'exclusion de la part de l'autorité adjudicatrice, il sera retenu qu'elle réalisait toutes les conditions de participation et d'aptitude telles que fixées par l'appel d'offres.</w:t>
      </w:r>
    </w:p>
    <w:p>
      <w:r>
        <w:t>- 11/17 - A/3632/2023 L'objection d'irrecevabilité des parties intimées sera par conséquent écartée et l'offre de la recourante déclarée recevable.</w:t>
      </w:r>
    </w:p>
    <w:p>
      <w:r>
        <w:rPr>
          <w:b/>
        </w:rPr>
        <w:t>E. 4</w:t>
      </w:r>
    </w:p>
    <w:p>
      <w:r>
        <w:t>Le recours porte sur la conformité au droit de la décision d'adjudication en lien avec divers griefs soulevés par la recourante. La chambre de céans limitera toutefois son examen à deux points susceptibles de vider le litige, à savoir ceux relatifs à la violation du principe de transparence et à l'interdiction de l'arbitraire. La recourante fait valoir le grief de violation des principes de non- discrimination et de la transparence. 4.1.1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4.1.2 Les offres sont évaluées en fonction des critères d’aptitude et des critères d’adjudication (art. 12 RMP). 4.1.3 L’autorité adjudicatrice choisit des critères objectifs, vérifiables et pertinents par rapport au marché. Elle doit les énoncer clairement et par ordre d’importance au moment de l’appel d’offres (art. 24 RMP). Les documents mis à disposition des candidats doivent contenir, notamment, les critères d'adjudication, avec leur pondération (art. 27 let. f RMP). 4.1.4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 ATA/695/2015 du 30 juin 2015 consid. 3c ; ATA/368/2015 du 21 avril 2015 consid. 4c ; ATA/972/2014 du 9 décembre 2014 consid. 11b).</w:t>
      </w:r>
    </w:p>
    <w:p>
      <w:r>
        <w:t>- 12/17 - A/3632/2023 4.1.5 Le soumissionnaire qui entend contester la définition, la pondération ou le manque de précision des critères d'adjudication doit le faire, pour des raisons de bonne foi, dans le cadre de l'appel d'offres et non au moment de la décision d'adjudication, sans quoi il est forclos.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(ATF 130 I 241 consid. 4.2 ; ATA/319/2022 du 29 mars 2022 consid. 6a ; ATA/448/2020 du 7 mai 2020 consid. 7 ; ATA/307/2019 du 26 mars 2019 consid. 6b). 4.1.6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4.1.7 Le pouvoir adjudicateur dispose d'une grande liberté d'appréciation dans le choix et l'évaluation des critères d'aptitude et d'adjudication, celui-là étant libre de spécifier ses besoins en tenant compte de la solution qu'il désire (ATF 137 II 313 consid. 3.4 in JdT 2012 I p. 28ss). Si l'autorité judiciaire substitue son pouvoir d'appréciation à celui de l'adjudicateur, elle juge en opportunité, ce qui lui est interdit, tant par l'art. 16 al. 2 AIMP que par l'art. 61 al. 2 LPA. L'autorité judiciaire ne peut intervenir qu'en cas d'abus ou d'excès du pouvoir d'appréciation de l'adjudicateur, ce qui, en pratique, peut s'assimiler à un contrôle restreint à l'arbitraire. En revanche, l'autorité judiciaire n'a pas à faire preuve de la même</w:t>
      </w:r>
    </w:p>
    <w:p>
      <w:r>
        <w:t>- 13/17 - A/3632/2023 retenue lors du contrôle des règles de procédure en matière de marchés publics (ATF 141 II 353 consid. 3 et les références citées). 4.1.8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arrêts du Tribunal fédéral C_985/2019 et 2C_45/2020 du 26 mai 2020 consid. 6.3). En l'espèce, l’autorité intimée a énuméré par avance et dans l'ordre d'importance tous les critères d'adjudication qui seraient pris en considération lors de l'évaluation des soumissions, en spécifiant clairement l'importance qu’elle entendait accorder à chacun d'eux, conformément aux art. 1 al. 3 let. c AIMP et 24 RMP. Selon l'appel d'offres, le marché devait être adjugé au regard des critères suivants, énoncés dans l'ordre d'importance décroissant avec leur pondération respective : le critère 1 intitulé « Qualité et fiabilité de l'exécution des prestations » (54%), le critère 2 « Prix » (40%) et le critère 3 « Qualité de l'entreprise, soit la contribution à la composante sociale du développement durable et la contribution à la composante environnementale du développement durable » (6%). Les sous-critères et/ou éléments d'appréciation étaient indiqués dans le cahier des charges. Chacun des critères faisait l’objet de sous-rubriques pour lesquelles le pouvoir adjudicateur précisait ce qu’il souhaitait obtenir comme renseignements. Ainsi, le critère du prix mentionnait les éléments d'appréciation pris en considération dans l'évaluation, à savoir ceux précédés d'une croix dans la colonne « Apprécier et évaluer ». 4.2.1 Toutefois, la pondération de chaque sous-critère du prix n'était annoncée ni dans l'appel d’offres ni dans le cahier des charges. Dans le cadre de l'évaluation des offres, celles-ci ont été notées par l'autorité intimée sur la base de différents coefficients attribués aux sous-critères ou éléments d'appréciation. S'agissant plus spécifiquement de l'évaluation du critère du prix, la répartition des coefficients de pondération différents a été opérée de la manière suivante : la sous-rubrique k2 s'est vu appliquer un coefficient de dix contre deux pour la sous-rubrique k1 ou un pour la sous-rubrique k3. Contrairement à ce que soutient l'autorité intimée, la violation alléguée du principe de transparence relève donc dans le présent cas du défaut d'annonce préalable des coefficients de pondération. Il résulte des éléments précédents que la sous-rubrique k2 a bénéficié d'un poids prépondérant par rapport à k1 et k3, dans la mesure où elle correspondait à un indice de pondération de 30,77% sur les 40% attribués au critère du prix, soit plus de cinq</w:t>
      </w:r>
    </w:p>
    <w:p>
      <w:r>
        <w:t>- 14/17 - A/3632/2023 fois la pondération du critère principal 3 « Qualité de l'entreprise ». Dit pourcentage de pondération valait également pour l'évaluation générale de l'offre. Compte tenu de ces différences substantielles de pondération caractérisées par le rôle prépondérant réservé à k2, la recourante ne pouvait raisonnablement partir de l'idée que l'autorité intimée se servirait d'une telle grille d'évaluation pour apprécier le critère du prix. Il y a lieu d'admettre qu'il s'agissait de l'emploi d'une grille d'évaluation qui sort de l'ordinaire, de sorte que le principe de transparence exigeait leur publication préalable dans les documents d'appel d'offres. Faute d'avoir procédé de la sorte et de ne pas avoir non plus justifié dans la procédure ce choix, l'autorité intimée a mésusé de son pouvoir d'appréciation. Il peut être retenu que si cette manière d’évaluer son offre avait été communiquée, la recourante en aurait tenu compte dans l’offre soumise. C'est du moins ce qu'elle laisse supposer lorsqu'elle affirme avoir construit les prix forfaitaires des affiches sans prendre en compte la possibilité qu'ils seraient évalués selon des pourcentages de pondération différents. Au vu de ce qui précède et contrairement aux allégations de l'autorité intimée et de l'adjudicataire, il était nécessaire, au regard des effets du défaut de transparence sur le résultat de la procédure, d'annoncer à l'avance les coefficients de pondération des sous-critères ou éléments d'appréciation du prix. Dès lors que la recourante ne pouvait déceler ce vice formel, soit le défaut de publication préalable de la pondération des sous-rubriques du prix, sur la base des documents d'appel d'offres, le grief de violation du principe de transparence pouvait encore être soulevé avec la décision d'adjudication. Partant, le recours sera admis sur ce point. 4.2.2 En outre, la différence inusuelle de pondération pour le sous-critère k2 par rapport à k1 et k3 ne trouve pas d’explication suffisante. La motivation de l'autorité intimée est à cet égard confuse, voire inexistante. S’il est envisageable que la prestation à fournir pour la pose d’affiches pendant une période de 28 jours n’est pas identique à celle d’une pose pendant une période de 14 jours, les explications incomplètes de l'autorité intimée ne permettent ni de comprendre ni de justifier objectivement la pondération de k2 cinq fois supérieure à celle de k1. La chambre de céans n'est donc pas en mesure d'apprécier le bien-fondé des pourcentages de pondération appliqués aux sous-rubriques du critère du prix par l'autorité intimée lors de l'évaluation des offres. Compte tenu du poids élevé de k2, soit 30,77%, dans l'évaluation du critère du prix dont la pondération était elle-même fixée à 40% de l'évaluation totale, il apparaît qu’en l’absence d’un tel pourcentage élevé de pondération, le résultat aurait été différent, comme l'a démontré la recourante. Dès lors que les motifs fondant la pondération différenciée des éléments du prix n’apparaissent pas trouver de justification suffisante, il convient également de retenir le caractère arbitraire de la décision d'adjudication.</w:t>
      </w:r>
    </w:p>
    <w:p>
      <w:r>
        <w:t>- 15/17 - A/3632/2023 En conséquence, le recours sera également admis sur ce point. Pour les motifs exposés ci-dessus, le recours sera partiellement admis et la décision d'adjudication entreprise annulée, ce qui rend superflu l'examen des autres griefs soulevés par la recourante.</w:t>
      </w:r>
    </w:p>
    <w:p>
      <w:r>
        <w:rPr>
          <w:b/>
        </w:rPr>
        <w:t>E. 5</w:t>
      </w:r>
    </w:p>
    <w:p>
      <w:r>
        <w:t>Le contrat d’exécution de la décision d’adjudication n’ayant pas été conclu, se pose la question des conséquences de l’annulation de la décision d’adjudication. À teneur de l'art. 18 al. 1 AIMP, si le contrat n’est pas encore conclu, l’autorité de recours peut, soit statuer au fond, soit renvoyer la cause au pouvoir adjudicateur dont elle annule la décision, au besoin avec des instructions impératives. Dans ce contexte, l'instance de recours cantonale doit toutefois continuer à respecter la marge d'appréciation de l'autorité adjudicatrice. En effet, un contrôle de l'opportunité d'une décision d'adjudication n'est pas prévu. À la lumière de l'art. 16 al. 1 let. a et al. 2 AIMP, l'autorité de recours ne doit faire usage qu'avec retenue de sa compétence de rendre un jugement réformatoire au sens de l'art. 18 al. 1 AIMP et renvoyer en principe l'affaire à l'autorité adjudicatrice. En procédant elle-même à l'adjudication, elle empiéterait sinon trop fortement sur le pouvoir d'appréciation de l'autorité adjudicatrice. En d'autres termes, compte tenu de la grande marge d'appréciation dont disposent les autorités adjudicatrices, l'annulation de la décision d'adjudication entraîne donc en règle générale un renvoi à l'autorité adjudicatrice avec une décision contraignante de l'instance cantonale de recours (ATF 146 II 276, consid. 6.2.1 ; Peter GALLI/André MOSER/Elisabeth LANG/Marc STEINER, op. cit., p. 1396 ; Etienne POLTIER, Droit des marchés publics, 2023, p. 416 n. 881) La compétence de l'instance de recours de rendre un jugement réformatoire doit être appliquée exclusivement dans des constellations qui ont été suffisamment clarifiées. Une telle constellation existe notamment lorsque seuls deux soumissionnaires participent à la procédure d'adjudication ou que le marché peut être attribué sans autre au soumissionnaire le mieux placé suivant, car aucun autre soumissionnaire n'entre en ligne de compte pour l'adjudication. En revanche, la clarté requise fait par exemple défaut lorsqu'il est douteux que la recourante de la procédure de recours de première instance ait présenté l'offre la plus avantageuse économiquement. Dans le cas contraire, l'affaire doit être renvoyée à l'autorité adjudicatrice - éventuellement avec une injonction contraignante - pour réévaluation de ces offres sur la base du critère d'examen corrigé par l'instance de recours cantonale (art. 18 al. 1 AIMP). L'autorité adjudicatrice doit procéder à une nouvelle évaluation avec un plein pouvoir d'appréciation. Ce faisant, elle doit réintégrer les autres soumissionnaires dans la procédure d'adjudication, pour autant qu'aucun obstacle procédural ne s'y oppose tel que l'exclusion de la procédure entrée en force pour cause de non-respect des critères de qualification (ATF 146 II 276, consid. 6.3.4).</w:t>
      </w:r>
    </w:p>
    <w:p>
      <w:r>
        <w:t>- 16/17 - A/3632/2023 En espèce, la recourante a conclu à l'attribution du marché en sa faveur, subsidiairement, au renvoi de la cause à l'autorité intimée pour nouvelle évaluation des offres tenant compte d'une « équipondération » des coefficients de pondération prévus dans le tableau d'évaluation établi par l'autorité adjudicatrice et nouvelle décision, plus subsidiairement, à l'organisation d'un nouvel appel d'offres assorti de l'ensemble des paramètres de notation (coefficients de pondération, barème de notes, etc.). Quand bien même deux soumissionnaires ont participé à la procédure d'appel d'offres, il n'apparaît pas, à l'aune du dossier, que la recourante ait présenté l'offre la plus avantageuse économiquement. À cela s'ajoute que la chambre de céans n'a pas pu apprécier le bien-fondé des critères de pondération de la notation du prix litigieux. Cela étant, les conditions requises ne sont réunies ni pour l'attribution du marché à la recourante, ni pour ordonner uniquement une nouvelle réévaluation des offres. Dans ces circonstances, la chambre de céans renverra la cause à l'autorité intimée pour nouvelle décision.</w:t>
      </w:r>
    </w:p>
    <w:p>
      <w:r>
        <w:rPr>
          <w:b/>
        </w:rPr>
        <w:t>E. 6</w:t>
      </w:r>
    </w:p>
    <w:p>
      <w:r>
        <w:t>Vu l’issue du litige, l’émolument de CHF 500.- sera mis à la charge de l’adjudicataire dans la mesure où elle a pris des conclusions sur le présent recours (art. 87 al. 1 LPA ; ATA/824/2016 du 04 octobre 2016 consid. 4 ; ATA/824/2016 du 4 octobre 2016 consid. 4). Une indemnité de procédure de CHF 1'500.- sera allouée à la recourante, à la charge par moitié de l'autorité intimée et de l'adjudicataire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