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ATA/356/2005 vom 24. Mai 2005</w:t>
      </w:r>
    </w:p>
    <w:p>
      <w:r>
        <w:t>GE Cour de justice, 2005-05-24, FR</w:t>
      </w:r>
    </w:p>
    <w:p>
      <w:r>
        <w:rPr>
          <w:b/>
        </w:rPr>
        <w:t xml:space="preserve">Quelle: </w:t>
      </w:r>
      <w:r>
        <w:t>https://mcp.opencaselaw.ch/entscheid/ge_gerichte_ATA_356_2005</w:t>
      </w:r>
    </w:p>
    <w:p>
      <w:r>
        <w:t>FR: GE_GERICHTE ATA/356/2005 du 24 mai 2005</w:t>
      </w:r>
    </w:p>
    <w:p>
      <w:r>
        <w:t>IT: GE_GERICHTE ATA/356/2005 del 24 maggio 2005</w:t>
      </w:r>
    </w:p>
    <w:p>
      <w:pPr>
        <w:pStyle w:val="Heading2"/>
      </w:pPr>
      <w:r>
        <w:t>Erwägungen</w:t>
      </w:r>
    </w:p>
    <w:p>
      <w:r>
        <w:rPr>
          <w:b/>
        </w:rPr>
        <w:t>E. 30</w:t>
      </w:r>
    </w:p>
    <w:p>
      <w:r>
        <w:t>avril 1999 doit être admise. 7.</w:t>
      </w:r>
    </w:p>
    <w:p>
      <w:r>
        <w:t>En tous points mal fondé, le recours sera rejeté et la décision de la CCRMI confirmée. 8.</w:t>
      </w:r>
    </w:p>
    <w:p>
      <w:r>
        <w:t>Vu la qualité de la recourante, il ne lui sera pas infligé d’émolument. Il ne sera pas alloué d’indemnité de procédure aux intimés qui agissent en personne et n’allèguent pas avoir exposé de frais pour leur défense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