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ATA/355/2019 vom 2. April 2019</w:t>
      </w:r>
    </w:p>
    <w:p>
      <w:r>
        <w:t>GE Cour de justice, 2019-04-02, FR</w:t>
      </w:r>
    </w:p>
    <w:p>
      <w:r>
        <w:rPr>
          <w:b/>
        </w:rPr>
        <w:t xml:space="preserve">Quelle: </w:t>
      </w:r>
      <w:r>
        <w:t>https://mcp.opencaselaw.ch/entscheid/ge_gerichte_ATA_355_2019</w:t>
      </w:r>
    </w:p>
    <w:p>
      <w:r>
        <w:t>FR: GE_GERICHTE ATA/355/2019 du 2 avril 2019</w:t>
      </w:r>
    </w:p>
    <w:p>
      <w:r>
        <w:t>IT: GE_GERICHTE ATA/355/2019 del 2 aprile 2019</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ATA/1364/2018 du 18 décembre 2018 consid. 4b).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(ATA/1330/2018 du 11 décembre 2018 consid. 4).</w:t>
      </w:r>
    </w:p>
    <w:p>
      <w:r>
        <w:t>Un recours ne peut être en principe dirigé que contre le dispositif de la décision (ATF 140 I 114 consid. 2.4.2). Toutefois, les éléments des considérants auxquels le dispositif renvoie peuvent aussi faire l’objet d’un recours (ATAF/2009/46 consid. 2). Par contre, le recourant qui n’attaque que la motivation d’une décision n’aura pas la qualité pour agir faute d’intérêt à la</w:t>
      </w:r>
    </w:p>
    <w:p>
      <w:r>
        <w:t>- 5/7 - A/4173/2018 modification du dispositif de celle-ci (ATF 115 V 416 consid. 3 a, Thierry TANQUEREL, Manuel de droit administratif, 2ème édition, p. 431, n° 1'264).</w:t>
      </w:r>
    </w:p>
    <w:p>
      <w:r>
        <w:t>c. Un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w:t>
      </w:r>
    </w:p>
    <w:p>
      <w:r>
        <w:rPr>
          <w:b/>
        </w:rPr>
        <w:t>E. 3</w:t>
      </w:r>
    </w:p>
    <w:p>
      <w:r>
        <w:t>En l’espèce, la décision querellée ne porte que sur la fin des prestations d’aide sociale au 1er août 2018. Certes, l’intitulé de la correspondance du 30 juillet 2018 mentionne qu’une demande de restitution est formulée. Toutefois, il ressort du contenu de la correspondance et de la formulation de la décision de l’hospice du 30 juillet 2018 que le dispositif de celle-ci ne concerne que la fin des prestations d’aide financière au 1er août 2018. Or, la recourante a expressément, par courrier du 8 août 2018, demandé la clôture de son dossier, abondant, ce faisant, dans le sens des conclusions prises par l’hospice dans sa décision du 30 juillet 2018.</w:t>
      </w:r>
    </w:p>
    <w:p>
      <w:r>
        <w:t>Les violations des devoirs du bénéficiaire, reprochées à la recourante, ne servent qu’à motiver la décision de fin des prestations. L’intéressée ne peut toutefois pas recourir contre la seule motivation de la décision. S’agissant de la demande de remboursement, évoquée dans la décision querellée, celle-ci est annoncée par l’autorité intimée au cas où l’autorité ne devait pas obtenir, dans le délai fixé au 31 août 2018, les documents sollicités dans la même correspondance. Même si, estimant sa position bien-fondée, l’hospice indique dans la phrase qui suit que, dès réception des documents demandés, le montant des sommes indûment perçues sera calculé, comme s’il n’existait pas d’hypothèse où aucune demande de remboursement ne serait formulée, il mentionne qu’une décision de restitution sera adressée ultérieurement.</w:t>
      </w:r>
    </w:p>
    <w:p>
      <w:r>
        <w:t>Le dispositif de la décision sur opposition ne porte d’ailleurs que sur l’arrêt des prestations au 1er août 2018, ce que les derniers considérants de la décision mentionnent.</w:t>
      </w:r>
    </w:p>
    <w:p>
      <w:r>
        <w:t>En conséquence, dès lors que la décision querellée ne porte que sur la fin du droit aux prestations et que la recourante ne conteste pas cette fin, mais a abondé dans le sens de la décision de l’hospice, le litige n’a plus d’objet.</w:t>
      </w:r>
    </w:p>
    <w:p>
      <w:r>
        <w:t>Autre sera la question du bien-fondé d’une demande de restitution, voire du montant de celle-ci, qui devra être analysée ultérieurement, dans le cadre de la procédure de demande en restitution.</w:t>
      </w:r>
    </w:p>
    <w:p>
      <w:r>
        <w:t>Le litige n’a plus d’objet depuis le 8 août 2018. Le recours est en conséquence irrecevable.</w:t>
      </w:r>
    </w:p>
    <w:p>
      <w:r>
        <w:t>- 6/7 - A/4173/2018</w:t>
      </w:r>
    </w:p>
    <w:p>
      <w:r>
        <w:rPr>
          <w:b/>
        </w:rPr>
        <w:t>E. 4</w:t>
      </w:r>
    </w:p>
    <w:p>
      <w:r>
        <w:t>Vu la matière, aucun émolument ne sera perçu (art. 87 al. 1 LPA ; art. 11 du règlement sur les frais, émoluments et indemnités en procédure administrative du 30 juillet 1986 - RFPA - E 5 10.03). Vu l’issue de la procédure,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