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ATA/355/2014 vom 14. Mai 2014</w:t>
      </w:r>
    </w:p>
    <w:p>
      <w:r>
        <w:t>GE Cour de justice, 2014-05-14, FR</w:t>
      </w:r>
    </w:p>
    <w:p>
      <w:r>
        <w:rPr>
          <w:b/>
        </w:rPr>
        <w:t xml:space="preserve">Quelle: </w:t>
      </w:r>
      <w:r>
        <w:t>https://mcp.opencaselaw.ch/entscheid/ge_gerichte_ATA_355_2014</w:t>
      </w:r>
    </w:p>
    <w:p>
      <w:r>
        <w:t>FR: GE_GERICHTE ATA/355/2014 du 14 mai 2014</w:t>
      </w:r>
    </w:p>
    <w:p>
      <w:r>
        <w:t>IT: GE_GERICHTE ATA/355/2014 del 14 maggio 2014</w:t>
      </w:r>
    </w:p>
    <w:p>
      <w:pPr>
        <w:pStyle w:val="Heading2"/>
      </w:pPr>
      <w:r>
        <w:t>Erwägungen</w:t>
      </w:r>
    </w:p>
    <w:p>
      <w:r>
        <w:rPr>
          <w:b/>
        </w:rPr>
        <w:t>E. 26</w:t>
      </w:r>
    </w:p>
    <w:p>
      <w:r>
        <w:t>septembre 2010 - LOJ - E 2 05 ; art. 10 al. 1 de la loi d’application de la LEtr du 16 juin 1988 - LaLEtr - F 2 10 ; art. 17 et 62 al. 1 let. b de la loi sur la procédure administrative du 12 septembre 1985 - LPA - E 5 10).</w:t>
      </w:r>
    </w:p>
    <w:p>
      <w:r>
        <w:t>2)</w:t>
      </w:r>
    </w:p>
    <w:p>
      <w:r>
        <w:t>Selon l’art. 10 al. 2 LaLEtr, la chambre administrative doit statuer dans les dix jours qui suivent sa saisine. Ayant reçu le recours le 9 mai 2014 et statuant ce jour, elle respecte ce délai. 3)</w:t>
      </w:r>
    </w:p>
    <w:p>
      <w:r>
        <w:t>La chambre de céans est compétente pour apprécier l’opportunité des décisions portées devant elle (art. 10 al. 2 LaLEtr). Elle peut confirmer, réformer ou annuler la décision attaquée ; cas échéant, elle ordonne la mise en liberté de l’étranger (art. 10 al. 3 LaLEtr). 4) a. Aux termes de l’art. 75 al. 1 LEtr,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notamment s’il franchit la frontière malgré une interdiction d'entrer en Suisse et ne peut pas être renvoyé immédiatement ou s’il a été condamné pour crime (art. 75 al. 1 let. c et h LEtr). L'autorité compétente prend</w:t>
      </w:r>
    </w:p>
    <w:p>
      <w:r>
        <w:t>- 6/9 - A/1172/2014 sans délai une décision quant au droit de séjour de la personne mise en détention (art 75 al. 2 LEtr).</w:t>
      </w:r>
    </w:p>
    <w:p>
      <w:r>
        <w:t>b. Lorsqu'une décision de renvoi ou d'expulsion de première instance a été notifiée, l'autorité compétente peut, afin d'en assurer l'exécution, maintenir en détention la personne concernée lorsque celle-ci est déjà détenue en vertu de l'art. 75 LEtr. (art. 76 al. 1 let. a LEtr). Les démarches nécessaires à l’exécution du renvoi doivent être entreprises sans tarder (art. 76 al. 4 LEtr).</w:t>
      </w:r>
    </w:p>
    <w:p>
      <w:r>
        <w:t>c.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w:t>
      </w:r>
    </w:p>
    <w:p>
      <w:r>
        <w:t>d. La détention en phase préparatoire peut être remplacée directement par une détention en vue de refoulement - c'est-à-dire sans qu’il soit nécessaire de libérer l’étranger dans l’intervalle, lorsque la décision de renvoi est prise en première instance. Une telle démarche implique une décision formelle, soumise à un contrôle judiciaire qui doit intervenir dès la notification de la décision de renvoi (ATF 121 II 105 consid 2a ; Tarkan GÖKSU in Martina CARONI / Thomas GÄCHTER / Daniela THURNHERR [éd.], Bundesgesetz über die Ausländerinnen und Ausländer [AuG], 2010, n. 6 ad art. 76 LEtr ; Nicolas WISARD, Les renvois et leur exécution en droit des étrangers et en droit d'asile, 1997, p. 310) (ATA/85/2012 du 10 février 2012).</w:t>
      </w:r>
    </w:p>
    <w:p>
      <w:r>
        <w:t>e. La légalité et l'adéquation de la détention doivent être examinées dans un délai de 96 heures par une autorité judiciaire au terme d'une procédure orale. Si la détention en vue du renvoi ou de l'expulsion au sens de l'art. 77 a été ordonnée, la procédure d'examen se déroule par écrit (art. 80 al. 2 LEtr). 5)</w:t>
      </w:r>
    </w:p>
    <w:p>
      <w:r>
        <w:t>En l’espèce, l’ordre de mise en détention est fondé sur l’art. 75 LEtr relatif à la détention en phase préparatoire. Le jugement du 28 avril 2014 dont est recours a confirmé ledit ordre.</w:t>
      </w:r>
    </w:p>
    <w:p>
      <w:r>
        <w:t>M. A______ a fait l’objet d’une décision de renvoi le 29 avril 2014. Or, la détention en phase préparatoire ne peut durer, selon la loi, que jusqu'à la notification de la décision de renvoi de première instance.</w:t>
      </w:r>
    </w:p>
    <w:p>
      <w:r>
        <w:t>- 7/9 - A/1172/2014</w:t>
      </w:r>
    </w:p>
    <w:p>
      <w:r>
        <w:t>Selon la loi, la légalité et l'adéquation de la détention doivent être examinées dans les 96 heures au plus tard par une autorité judiciaire au terme d'une procédure orale (art. 80 al. 2 LEtr). Quand l'étranger se trouvait déjà en détention (en phase préparatoire), c'est la notification de la décision de renvoi de première instance qui en constitue le point de départ. C’est par cette décision que la détention en phase préparatoire perd sa justification (ATF 121 II 105).</w:t>
      </w:r>
    </w:p>
    <w:p>
      <w:r>
        <w:t>La décision de première instance, par laquelle l’ODM a ordonné le renvoi du recourant, porte la date du 29 avril 2014. On ignore à quelle date précisément elle a été notifiée au recourant.</w:t>
      </w:r>
    </w:p>
    <w:p>
      <w:r>
        <w:t>Aucune pièce au dossier ne fait mention de l’existence d’un ordre de mise en détention fondé sur l’art. 76 LEtr ni d’un contrôle de la détention dans les 96 heures qui suivent.</w:t>
      </w:r>
    </w:p>
    <w:p>
      <w:r>
        <w:t>Les prescriptions formelles relatives à la détention ont été gravement violées dans le cas particulier. Le recourant se trouve depuis plusieurs jours en détention sans aucun titre de détention valable et sans qu’aucun contrôle de la légalité de celle-ci n’ait pu être effectué. 6)</w:t>
      </w:r>
    </w:p>
    <w:p>
      <w:r>
        <w:t>Conformément à la jurisprudence, toute violation des règles de procédure ne conduit pas forcément à une mise en liberté de l'intéressé.</w:t>
      </w:r>
    </w:p>
    <w:p>
      <w:r>
        <w:t>La règle de l'art. 80 al. 2 LEtr, qui exige que la détention soit contrôlée dans les 96 heures par une autorité judiciaire au terme d'une procédure orale, représente une garantie formelle essentielle pour assurer la protection contre une privation arbitraire de la liberté (ATF 121 II 105 = JdT 1997 I p. 707).</w:t>
      </w:r>
    </w:p>
    <w:p>
      <w:r>
        <w:t>A l’instar du cas jurisprudentiel précité, l'inobservation de cette garantie dans la situation de M. A______ est grave. Le délai légal a été dépassé de façon significative, sans aucun titre de mise en détention, sans aucun contrôle de celle-ci. Il se justifie, dans ces conditions, d'ordonner la libération immédiate du recourant. 7)</w:t>
      </w:r>
    </w:p>
    <w:p>
      <w:r>
        <w:t>Cette solution s’impose d’autant plus que le TAPI avait dûment attiré l’attention de l’intimé sur cette problématique dans le consid. 12 de son jugement en mentionnant notamment que « si le renvoi est prononcé, la détention devra, le cas échéant, être convertie en détention en vue du renvoi (cf. ATF 125 II 377 consid. 2b), ce qui implique que l'officier de police devra prendre un nouvel ordre de mise en détention ». 8)</w:t>
      </w:r>
    </w:p>
    <w:p>
      <w:r>
        <w:t>Il n’est pas nécessaire d’analyser les deux griefs soulevés par le recourant. 9)</w:t>
      </w:r>
    </w:p>
    <w:p>
      <w:r>
        <w:t>Au vu de ce qui précède, le recours sera admis et la mise en liberté immédiate du recourant prononcée.</w:t>
      </w:r>
    </w:p>
    <w:p>
      <w:r>
        <w:t>- 8/9 - A/1172/2014 10) Vu la nature comme l’issue du litige, il ne sera pas perçu d’émolument (art. 12 du règlement sur les frais, émoluments et indemnités en procédure administrative du 30 juillet 1986 - RFPA - E 5 10.03).</w:t>
      </w:r>
    </w:p>
    <w:p>
      <w:r>
        <w:t>Vu l’issue du litige, une indemnité de procédure de CHF 500.- sera allouée au recourant, à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