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ATA/355/2012 vom 5. Juni 2012</w:t>
      </w:r>
    </w:p>
    <w:p>
      <w:r>
        <w:t>GE Cour de justice, 2012-06-05, FR</w:t>
      </w:r>
    </w:p>
    <w:p>
      <w:r>
        <w:rPr>
          <w:b/>
        </w:rPr>
        <w:t xml:space="preserve">Quelle: </w:t>
      </w:r>
      <w:r>
        <w:t>https://mcp.opencaselaw.ch/entscheid/ge_gerichte_ATA_355_2012</w:t>
      </w:r>
    </w:p>
    <w:p>
      <w:r>
        <w:t>FR: GE_GERICHTE ATA/355/2012 du 5 juin 2012</w:t>
      </w:r>
    </w:p>
    <w:p>
      <w:r>
        <w:t>IT: GE_GERICHTE ATA/355/2012 del 5 giugno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(Arrêt du Tribunal fédéral 1C_274/2010 du 7 octobre 2010 consid. 2.1 et les arrêts cités). Faute de constatations suffisantes dans le prononcé pénal, c'est à l'autorité administrative qu'incombe la constatation des faits sur lesquels se fonde la décision (Arrêt du Tribunal fédéral 6A.21/2006 du 15 juin 2006 consid. 2) ; le même principe vaut à plus forte raison en l'absence de procédure pénale.</w:t>
      </w:r>
    </w:p>
    <w:p>
      <w:r>
        <w:t>En l'espèce, pour une raison indéterminée, le recourant n'a - pour l'instant du moins - pas fait l'objet d'une procédure pénale. Il appartenait dès lors aux autorités administratives de constater les faits.</w:t>
      </w:r>
    </w:p>
    <w:p>
      <w:r>
        <w:t>L'OCAN s'est fondé pour ce faire sur le rapport d'accident établi par la gendarmerie, ainsi que sur son annexe, à savoir la déclaration écrite faite sur les lieux par l'intéressé lui-même. Le juge délégué par la chambre de céans a de plus procédé à l'audition des parties.</w:t>
      </w:r>
    </w:p>
    <w:p>
      <w:r>
        <w:t>Il ressort ainsi du dossier que les faits constatés par les gendarmes ne sont pas fondamentalement contestés par le recourant. Il peut donc être retenu - en s'appuyant sur le chiffre inférieur de la fourchette initialement donnée par l'intéressé lui-même - que ce dernier roulait à une vitesse de 50 km/h à l'entrée du carrefour giratoire de l'avenue Y______ le 30 mars 2011 à 20h30, le soleil s'étant couché à 20h00 et les autres conditions de circulation étant bonnes. Dans la courbe du giratoire, il a perdu la maîtrise de son véhicule, dont l'avant droit est venu heurter l'arrière gauche d'un bus des TPG stationné à son terminus. L'éthylomètre - dont le résultat n'est pas contesté - a révélé une alcoolémie de 0,62 g ‰, chiffre qui sera ainsi retenu par la chambre de céans.</w:t>
      </w:r>
    </w:p>
    <w:p>
      <w:r>
        <w:t>Les faits sont dès lors suffisamment établis pour déterminer si le comportement du recourant constituait une faute de circulation, et le cas échéant le degré de gravité de celle-ci. L'absence de déclaration écrite ou orale du conducteur du bus, ainsi que de clichés pris sur les lieux de l'accident, ne porte dès lors pas à conséquence.</w:t>
      </w:r>
    </w:p>
    <w:p>
      <w:r>
        <w:t>- 7/12 - A/1885/2011</w:t>
      </w:r>
    </w:p>
    <w:p>
      <w:r>
        <w:rPr>
          <w:b/>
        </w:rPr>
        <w:t>E. 3</w:t>
      </w:r>
    </w:p>
    <w:p>
      <w:r>
        <w:t>A teneur de l'art. 91 LCR, quiconque a conduit un véhicule automobile en état d’ébriété, est puni de l’amende ; la peine sera une peine privative de liberté de trois ans au plus ou une peine pécuniaire lorsque le taux d’alcoolémie (sic) est qualifié. Selon les art. 55 al. 6 LCR et 1 al. 2 de l'ordonnance de l’Assemblée fédérale concernant les taux d’alcoolémie limites admis en matière de circulation routière, du 21 mars 2003 (RS 741.13), est réputé qualifié un taux d’alcoolémie de 0,8 g ‰ ou plus, tandis que, selon l'art. 1 al. 1 de ladite ordonnance, l'état d'ébriété est irréfragablement présumé à partir d'une alcoolémie de 0,5 g ‰.</w:t>
      </w:r>
    </w:p>
    <w:p>
      <w:r>
        <w:rPr>
          <w:b/>
        </w:rPr>
        <w:t>E. 4</w:t>
      </w:r>
    </w:p>
    <w:p>
      <w:r>
        <w:t>En l'espèce, le recourant s'est soumis au test de l'éthylomètre, prévu par l'art. 55 al. 1 LCR, qui a révélé une alcoolémie de 0,62 g ‰, qui n'est pas contestée. Il a donc conduit en état d'ébriété, avec un taux d'alcool non qualifié, et donc violé ses devoirs de conducteur.</w:t>
      </w:r>
    </w:p>
    <w:p>
      <w:r>
        <w:rPr>
          <w:b/>
        </w:rPr>
        <w:t>E. 5</w:t>
      </w:r>
    </w:p>
    <w:p>
      <w:r>
        <w:t>L'art. 31 LCR impose à chacun de rester constamment maître de son véhicule, de façon à pouvoir se conformer aux devoirs de la prudence. Le conducteur vouera son attention à la route et à la circulation ; il évitera toute occupation qui rendrait plus difficile la conduite du véhicule, et veillera en outre à ce que son attention ne soit distraite, notamment par un appareil reproducteur de son ou par un quelconque système d’information ou de communication (art. 3 al. 1 de l'ordonnance sur les règles de la circulation routière du 13 novembre 1962 - OCR - RS 741.11).</w:t>
      </w:r>
    </w:p>
    <w:p>
      <w:r>
        <w:t>Selon l'art. 34 al. 4 LCR, le conducteur observera une distance suffisante envers tous les usagers de la route, notamment pour croiser, dépasser et circuler de front ou lorsque des véhicules se suivent.</w:t>
      </w:r>
    </w:p>
    <w:p>
      <w:r>
        <w:rPr>
          <w:b/>
        </w:rPr>
        <w:t>E. 6</w:t>
      </w:r>
    </w:p>
    <w:p>
      <w:r>
        <w:t>Le 30 mars 2011, pendant la traversée du giratoire de l'avenue Y______, le recourant a perdu la maîtrise de son véhicule, et celui-ci est venu percuter un bus qui se trouvait à l'arrêt. M. X______ a lui-même exclu toute défaillance technique. Il y a donc bien eu perte de maîtrise fautive du véhicule, et ainsi violation de l'art. 31 LCR.</w:t>
      </w:r>
    </w:p>
    <w:p>
      <w:r>
        <w:rPr>
          <w:b/>
        </w:rPr>
        <w:t>E. 7</w:t>
      </w:r>
    </w:p>
    <w:p>
      <w:r>
        <w:t>L'art. 32 al. 1 LCR dispose que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la visibilité sont favorables (ATF 121 IV 286 consid. 4b p. 291 ; Arrêt du Tribunal fédéral 6A.46/2005 du 12 octobre 2005 consid. 3.2.2).</w:t>
      </w:r>
    </w:p>
    <w:p>
      <w:r>
        <w:rPr>
          <w:b/>
        </w:rPr>
        <w:t>E. 8</w:t>
      </w:r>
    </w:p>
    <w:p>
      <w:r>
        <w:t>En l'espèce, la vitesse maximale autorisée sur le tronçon précédant le giratoire était de 50 km/h. Le giratoire en cause a 4 sorties, dont 2 sont des voies de sortie de centres commerciaux. A la sortie du giratoire est situé un passage pour piétons, et immédiatement après celui-ci se trouve l'arrêt de bus « Tours de</w:t>
      </w:r>
    </w:p>
    <w:p>
      <w:r>
        <w:t>- 8/12 - A/1885/2011 Carouge ». A l'heure où s'est produit l'accident, la nuit venait de tomber, et les autres conditions de circulation étaient bonnes.</w:t>
      </w:r>
    </w:p>
    <w:p>
      <w:r>
        <w:t>Vu la configuration des lieux, une vitesse d'entrée dans le giratoire de 50 km/h , qui plus est de nuit, ne peut qu'être considérée comme excessive, quand bien même la circulation était fluide et les conditions de route bonnes. C'est donc à juste titre que l'OCAN a retenu une violation de l'art. 32 al. 1 LCR.</w:t>
      </w:r>
    </w:p>
    <w:p>
      <w:r>
        <w:rPr>
          <w:b/>
        </w:rPr>
        <w:t>E. 9</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ou davantage suivant les éventuels antécédents du conducteur (art. 16b al. 2 let. b à f LCR). Commet une infraction grave selon l'art. 16c al. 1 let. a LCR la personne qui, en violant gravement les règles de la circulation, met sérieusement en danger la sécurité d'autrui ou en prend le risque (ATF 136 II 447 consid. 3.2). Conformément à l'art. 16c al. 2 let. c LCR, le permis de conduire est retiré pour douze mois au minimum si, au cours des cinq années précédentes, le permis a été retiré une fois en raison d’une infraction grave ou à deux reprises en raison d’infractions moyennement graves.</w:t>
      </w:r>
    </w:p>
    <w:p>
      <w:r>
        <w:t>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 135 II 138 consid. 2.2.2).</w:t>
      </w:r>
    </w:p>
    <w:p>
      <w:r>
        <w:rPr>
          <w:b/>
        </w:rPr>
        <w:t>E. 10</w:t>
      </w:r>
    </w:p>
    <w:p>
      <w:r>
        <w:t>La conduite en état d'ébriété avec un taux d'alcool non qualifié représente, en soi, une infraction moyennement grave à teneur de l'art. 16b al. 1 let. b LCR.</w:t>
      </w:r>
    </w:p>
    <w:p>
      <w:r>
        <w:t>Il convient néanmoins en l'espèce de qualifier par rapport à la let. a des art. 16a à 16c al. 1 LCR la gravité de la perte de maîtrise de son véhicule par M. X______, l'ébriété et la vitesse inadaptée aux circonstances constituant ici les causes de ladite perte de maîtrise.</w:t>
      </w:r>
    </w:p>
    <w:p>
      <w:r>
        <w:t>- 9/12 - A/1885/2011</w:t>
      </w:r>
    </w:p>
    <w:p>
      <w:r>
        <w:rPr>
          <w:b/>
        </w:rPr>
        <w:t>E. 11</w:t>
      </w:r>
    </w:p>
    <w:p>
      <w:r>
        <w:t>a. Selon la jurisprudence, une perte de maîtrise de son véhicule ne constitue pas toujours une infraction grave au sens de l'art. 16c al. 1 let. a LCR, et peut selon les circonstances être moyennement grave, voire légère (Arrêt du Tribunal fédéral 1C_235/2007 du 29 novembre 2007 consid. 2.2 ; ATA/661/2011 du 18 octobre 2011 consid. 8). Le degré d'attention requis du conducteur se détermine en fonction de l'ensemble des circonstances de l'espèce, en particulier l'intensité du trafic, la configuration des lieux, l'heure, la visibilité et les sources prévisibles de danger (ATF 129 IV 282 consid. 2.2.1 ; Arrêt du Tribunal fédéral 6B_54/2010 du 18 mars 2010 consid. 2.2).</w:t>
      </w:r>
    </w:p>
    <w:p>
      <w:r>
        <w:t>b. Le Tribunal fédéral a ainsi qualifié de légère la faute : − d'une conductrice n'ayant pas maîtrisé complètement son véhicule lors d'une marche arrière, et ayant ainsi accroché une voiture de livraison en causant un dommage de carrosserie de CHF 800.- environ (Arrêt du Tribunal fédéral 1C_406/2010 du 29 novembre 2010 consid. 4.6) ; − d'un conducteur ayant subi une perte de maîtrise sur un tronçon où il roulait à 60 ou 70 km/h alors que la vitesse maximale était plus élevée (80 km/h), sur une route mouillée mais pas détrempée, et ayant heurté un muret en béton puis la glissière de sécurité, fait un tonneau puis terminé sa course sur le toit (Arrêt du Tribunal fédéral 6A.90/2002 du 7 février 2003 consid. 4.2).</w:t>
      </w:r>
    </w:p>
    <w:p>
      <w:r>
        <w:t>c. Il a jugé comme de moyenne gravité les cas suivants : − perte de maîtrise à 70 km/h, sur un tronçon courbe limité à 80 km/h d'une route cantonale mouillée, suivie du franchissement d'une double ligne de sécurité et d'une collision contre un mur (Arrêt du Tribunal fédéral 6A.9/2004 du 23 avril 2004 consid. 4) ; − perte de maîtrise avec vitesse inadaptée de 80 km/h sur un tronçon autoroutier mouillé, suivi du heurt d'une paroi de sécurité (Arrêt du Tribunal fédéral 6A.67/2005 du 24 février 2006 consid. 2.2) ; − perte de maîtrise suite à une vitesse excessive dans une courbe et freinage brusque, suivie du heurt contre un pylône, ni le conducteur ni ses passagers n'étant blessés (ATF 103 Ib 35 consid. 4).</w:t>
      </w:r>
    </w:p>
    <w:p>
      <w:r>
        <w:t>d. Il a enfin jugé comme étant graves les infractions suivantes : − perte de maîtrise d'un conducteur ayant accéléré pour entrer sur l'autoroute dont la chaussée était mouillée, puis heurté la clôture de protection de la faune et étant parti en embardée (Arrêt du Tribunal fédéral 1C_302/2011 du 4 novembre 2011 consid. 3) ;</w:t>
      </w:r>
    </w:p>
    <w:p>
      <w:r>
        <w:t>- 10/12 - A/1885/2011 − perte de maîtrise d'un conducteur ayant conduit à 120 km/h sur l'autoroute par forte pluie, et ayant subi de ce fait un aquaplanage puis étant parti en embardée (ATF 120 Ib 312).</w:t>
      </w:r>
    </w:p>
    <w:p>
      <w:r>
        <w:rPr>
          <w:b/>
        </w:rPr>
        <w:t>E. 12</w:t>
      </w:r>
    </w:p>
    <w:p>
      <w:r>
        <w:t>En l'espèce, si l'on considère la faute du recourant - conduite en état d'ébriété combinée avec une vitesse excessive lors de l'entrée dans le giratoire - au regard des jurisprudences qui précèdent, on peut hésiter entre une faute grave et moyennement grave.</w:t>
      </w:r>
    </w:p>
    <w:p>
      <w:r>
        <w:t>En revanche, si l'on considère le degré de mise en danger, et contrairement aux affirmations du recourant, l'on a affaire à une mise en danger abstraite accrue fondée sur une intensité du risque très importante (sur la notion : Y. JEANNERET, Les dispositions pénales de la Loi sur la circulation routière - LCR, Berne 2007, par. 27 ss ad art. 90 LCR ; C. MIZEL, La violation grave des règles de la circulation, PJA 2004 1483-1502, p. 1487). En effet, le lieu de l'accident se situe dans une zone fortement urbanisée ; à la sortie du giratoire se trouve un passage pour piétons généralement fréquenté en raison de la présence de l'arrêt de bus et de deux centres commerciaux de part et d'autre de la route. Il est donc évident que si un piéton s'était trouvé sur le chemin du véhicule non contrôlé du recourant, sa vie aurait été en danger.</w:t>
      </w:r>
    </w:p>
    <w:p>
      <w:r>
        <w:t>Dès lors, compte tenu des circonstances de l'espèce, on doit retenir que la violation des règles de la circulation était grave au sens de l'art. 16c al. 1 let. a LCR.</w:t>
      </w:r>
    </w:p>
    <w:p>
      <w:r>
        <w:rPr>
          <w:b/>
        </w:rPr>
        <w:t>E. 13</w:t>
      </w:r>
    </w:p>
    <w:p>
      <w:r>
        <w:t>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(art. 16c al. 2 let. c LCR).</w:t>
      </w:r>
    </w:p>
    <w:p>
      <w:r>
        <w:t>Selon la jurisprudence, dans les cas d'application de l'art. 16c LCR, il n'est pas possible, même dans des circonstances particulières, de retirer le permis de conduire pour une durée inférieure aux minimums prévus par cette disposition légale (ATF 132 II 234 consid. 2.3 ; Arrêts du Tribunal fédéral 1C_180/2010 du 22 septembre 2010 ; 1C_129/2010 du 3 juin 2010 ; 6A.100/2006 du 28 mars 2007 consid. 4).</w:t>
      </w:r>
    </w:p>
    <w:p>
      <w:r>
        <w:rPr>
          <w:b/>
        </w:rPr>
        <w:t>E. 14</w:t>
      </w:r>
    </w:p>
    <w:p>
      <w:r>
        <w:t>En l'espèce, le recourant a fait l'objet le 11 juin 2007 d'un retrait de permis de conduire d'une durée de quatre mois pour avoir, au volant d'une voiture, dépassé la vitesse autorisée sur l'autoroute de 41 km/h, marge de sécurité déduite.</w:t>
      </w:r>
    </w:p>
    <w:p>
      <w:r>
        <w:t>L'infraction considérée étant, selon la jurisprudence constante du Tribunal fédéral une infraction grave au sens de l'art. 16c al. 1 let. a LCR (ATF 132 II 234 consid. 3.2 ; 128 II 131 consid. 2a), c'est à bon droit que l'OCAN a fait application</w:t>
      </w:r>
    </w:p>
    <w:p>
      <w:r>
        <w:t>- 11/12 - A/1885/2011 de l'art. 16c al. 2 let. c LCR. Dans la mesure où il a prononcé un retrait de permis de conduire correspondant à la durée minimale prévue par la loi, cette durée ne peut qu'être confirmée.</w:t>
      </w:r>
    </w:p>
    <w:p>
      <w:r>
        <w:rPr>
          <w:b/>
        </w:rPr>
        <w:t>E. 15</w:t>
      </w:r>
    </w:p>
    <w:p>
      <w:r>
        <w:t>Le recours sera rejeté. Un émolument de CHF 400.- sera mis à la charge du recourant, qui succombe (art. 87 al. 2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