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ATA/355/2011 vom 31. Mai 2011</w:t>
      </w:r>
    </w:p>
    <w:p>
      <w:r>
        <w:t>GE Cour de justice, 2011-05-31, FR</w:t>
      </w:r>
    </w:p>
    <w:p>
      <w:r>
        <w:rPr>
          <w:b/>
        </w:rPr>
        <w:t xml:space="preserve">Quelle: </w:t>
      </w:r>
      <w:r>
        <w:t>https://mcp.opencaselaw.ch/entscheid/ge_gerichte_ATA_355_2011</w:t>
      </w:r>
    </w:p>
    <w:p>
      <w:r>
        <w:t>FR: GE_GERICHTE ATA/355/2011 du 31 mai 2011</w:t>
      </w:r>
    </w:p>
    <w:p>
      <w:r>
        <w:t>IT: GE_GERICHTE ATA/355/2011 del 31 maggio 2011</w:t>
      </w:r>
    </w:p>
    <w:p>
      <w:pPr>
        <w:pStyle w:val="Heading2"/>
      </w:pPr>
      <w:r>
        <w:t>Regeste</w:t>
      </w:r>
    </w:p>
    <w:p>
      <w:r>
        <w:t>Résumé: La naissance de l'enfant suisse d'un ressortissant étranger, dont l'autorisation de séjour a jusqu'alors été refusée en raison d'une condamnation pénale, ne saurait être assimilée à une modification notable des circonstances et ainsi ouvrir la voie de la reconsidération de la décision des autorités. L'intérêt privé du recourant doit céder le pas devant l'intérêt public prépondérant au respect de l'ordre et de la sécurité publics suisses.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 loi sur l’organisation judiciaire du 22 novembre 1941 - aLOJ - et art. 63 al. 1 let. a de la loi sur la procédure administrative du 12 septembre 1985 - LPA - E 5 10, dans sa teneur au 31 décembre 2010).</w:t>
      </w:r>
    </w:p>
    <w:p>
      <w:r>
        <w:rPr>
          <w:b/>
        </w:rPr>
        <w:t>E. 2</w:t>
      </w:r>
    </w:p>
    <w:p>
      <w:r>
        <w:t>Il est établi par pièces que le couple D______ a divorcé le 18 novembre 2010, que ce jugement est en force et que la garde de l'enfant a été attribuée à sa mère. Selon cette dernière, le recourant aurait quitté la Suisse le 24 octobre 2009 et le conseil de celui-ci n'a plus de nouvelles de sa part depuis septembre 2009. Aucune pièce n'atteste cependant de ce départ.</w:t>
      </w:r>
    </w:p>
    <w:p>
      <w:r>
        <w:t>- 7/11 - A/2856/2009</w:t>
      </w:r>
    </w:p>
    <w:p>
      <w:r>
        <w:rPr>
          <w:b/>
        </w:rPr>
        <w:t>E. 3</w:t>
      </w:r>
    </w:p>
    <w:p>
      <w:r>
        <w:t>Aussi, il convient préalablement d'examiner si le recourant conserve un intérêt actuel à son recours.</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Sur le fond, le recourant a toujours invoqué, à l'appui de sa demande, des motifs relatifs à sa situation familiale. Or, son divorce a été prononcé pendant la procédure de recours. Il ne vit plus avec son ex-épouse, ni avec la fille de celle-ci et leur fils et il aurait quitté la Suisse, même si ce fait n'est pas démontré. Il est toutefois le père d'un enfant de nationalité suisse vivant dans ce pays. Dans ces circonstances, la question de l'intérêt actuel peut souffrir de rester ouverte.</w:t>
      </w:r>
    </w:p>
    <w:p>
      <w:r>
        <w:rPr>
          <w:b/>
        </w:rPr>
        <w:t>E. 4</w:t>
      </w:r>
    </w:p>
    <w:p>
      <w:r>
        <w:t>Le recourant a sollicité le réexamen de sa situation auprès de l'OCP le 23 mars 2009, suite à la naissance de son fils, le 15 avril 2008.</w:t>
      </w:r>
    </w:p>
    <w:p>
      <w:r>
        <w:t>a. Aux termes de l'art. 48 al. 1 let. a LPA, une autorité administrative peut reconsidérer ses décisions lorsqu'il existe un motif de révision au sens de l'art. 80 let. a et b LPA, ou si les circonstances se sont modifiées dans une mesure notable depuis la première décision.</w:t>
      </w:r>
    </w:p>
    <w:p>
      <w:r>
        <w:t>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w:t>
      </w:r>
    </w:p>
    <w:p>
      <w:r>
        <w:t>c. Par faits nouveaux justifiant la reconsidération d'une décision, il faut entendre des événements qui se sont produits antérieurement à la procédure</w:t>
      </w:r>
    </w:p>
    <w:p>
      <w:r>
        <w:t>- 8/11 - A/2856/2009 précédente, mais dont l'auteur de la demande de réexamen a été empêché, sans sa faute, de faire état à cette occasion. Quant aux preuves nouvelles, elles doivent se rapporter à des faits antérieurs à la décision attaquée.</w:t>
      </w:r>
    </w:p>
    <w:p>
      <w:r>
        <w:t>d.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w:t>
      </w:r>
    </w:p>
    <w:p>
      <w:r>
        <w:t>e.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(ATA/366/2003 du 13 mai 2003 ; B. KNAPP, op. cit. n° 1770 ss).</w:t>
      </w:r>
    </w:p>
    <w:p>
      <w:r>
        <w:t>f.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 KNAPP, op. cit. n° 1778 ss). Au-delà de cela, l'auteur de la demande de réexamen n'a aucun droit à obtenir une nouvelle décision, ni à exiger de l’autorité qu’elle procède à un nouvel examen.</w:t>
      </w:r>
    </w:p>
    <w:p>
      <w:r>
        <w:t>En l'espèce, le recourant invoque pour seul événement nouveau à l'appui de sa requête la naissance de son fils le 15 avril 2008. Or, cet élément est certes postérieur à la décision de l’OCP du 1er mars 2007, mais il ne s'agit pas pour autant d'un fait entraînant une modification notable des circonstances. Il n'existe dès lors aucun motif de reconsidération et les décisions de l'OCP du 10 juillet 2009, respectivement de la CCRA du 25 août 2009, de refuser d'entrer en matière sur la demande de réexamen de la situation du recourant sont fondées.</w:t>
      </w:r>
    </w:p>
    <w:p>
      <w:r>
        <w:rPr>
          <w:b/>
        </w:rPr>
        <w:t>E. 5</w:t>
      </w:r>
    </w:p>
    <w:p>
      <w:r>
        <w:t>a. Selon l'art. 8 par. 1 de la Convention de sauvegarde des droits de l’homme et des libertés fondamentales du 4 novembre 1950 (CEDH - RS 0.101), toute personne a le droit au respect de sa vie privée et familiale, de son domicile et de sa correspondance.</w:t>
      </w:r>
    </w:p>
    <w:p>
      <w:r>
        <w:t>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la personne de sa</w:t>
      </w:r>
    </w:p>
    <w:p>
      <w:r>
        <w:t>- 9/11 - A/2856/2009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 ATA/209/2011 du 3 mai 2011).</w:t>
      </w:r>
    </w:p>
    <w:p>
      <w:r>
        <w:t>Or, il est établi que le recourant ne fait plus ménage commun avec sa famille à Genève, tout au moins depuis le prononcé du divorce.</w:t>
      </w:r>
    </w:p>
    <w:p>
      <w:r>
        <w:t>c. De plus, une autorité publique peut s'ingérer dans l’exercice de ce droit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Le droit ainsi conféré à l'étranger n'est pas absolu : pour en bénéficier, celui-ci doit avoir eu un comportement irréprochable.</w:t>
      </w:r>
    </w:p>
    <w:p>
      <w:r>
        <w:t>En l'espèce, le recourant ayant été condamné à une peine privative de liberté de vingt-quatre mois suite à la commission d'un crime au sens des art. 10 al. 2 et 122 du Code pénal suisse du 21 décembre 1937 (CP - RS 311.0) ne satisfait pas à cette condition et continue à représenter un danger pour l'ordre public suisse, bien qu'il n'ait pas fait l'objet de nouvelles condamnations depuis sa sortie de prison le 26 janvier 2007. Son intérêt privé doit ainsi céder le pas devant l'intérêt public prépondérant au respect de l'ordre et de la sécurité publics suisses. De plus, rien ne l'empêchera de solliciter cas échéant un laissez-passer pour venir voir son fils dont la garde a été confiée à son ex-épouse et au sujet duquel il n’a jamais allégué qu’il aurait entretenu des relations personnelles et suivies.</w:t>
      </w:r>
    </w:p>
    <w:p>
      <w:r>
        <w:rPr>
          <w:b/>
        </w:rPr>
        <w:t>E. 6</w:t>
      </w:r>
    </w:p>
    <w:p>
      <w:r>
        <w:t>En tous points mal fondé, le recours sera rejeté. Vu l'issue du litige, un émolument de CHF 400.-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