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ATA/355/2009 vom 28. Juli 2009</w:t>
      </w:r>
    </w:p>
    <w:p>
      <w:r>
        <w:t>GE Cour de justice, 2009-07-28, FR</w:t>
      </w:r>
    </w:p>
    <w:p>
      <w:r>
        <w:rPr>
          <w:b/>
        </w:rPr>
        <w:t xml:space="preserve">Quelle: </w:t>
      </w:r>
      <w:r>
        <w:t>https://mcp.opencaselaw.ch/entscheid/ge_gerichte_ATA_355_2009</w:t>
      </w:r>
    </w:p>
    <w:p>
      <w:r>
        <w:t>FR: GE_GERICHTE ATA/355/2009 du 28 juillet 2009</w:t>
      </w:r>
    </w:p>
    <w:p>
      <w:r>
        <w:t>IT: GE_GERICHTE ATA/355/2009 del 28 luglio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L’aliénation d’un appartement à usage d’habitation, jusqu’alors offert en location, est soumise à autorisation dans la mesure où l’appartement entre, à raison de son loyer ou de son type, dans une catégorie de logements où sévit la pénurie (art. 39 al. 1 LDTR).</w:t>
      </w:r>
    </w:p>
    <w:p>
      <w:r>
        <w:t>Le Conseil d'Etat a déclaré qu'il y avait pénurie au sens des art. 25 et 39 LDTR dans toutes les catégories d'appartements de une à sept pièces inclusivement (Arrêté du Conseil d'Etat déterminant les catégories d'appartements où sévit la pénurie en vue de l'application des art. 25 à 39 LDTR du 14 novembre 2007 - état au 1er janvier 2008 - L 5 20.03). Les appartements concernés par la présente procédure entrent dans ces catégories et leur vente est soumise à autorisation, ce que les parties ne contestent pas.</w:t>
      </w:r>
    </w:p>
    <w:p>
      <w:r>
        <w:rPr>
          <w:b/>
        </w:rPr>
        <w:t>E. 3</w:t>
      </w:r>
    </w:p>
    <w:p>
      <w:r>
        <w:t>a. A teneur de l’art. 39 al. 4 LDTR, le département autorise l’aliénation d’un appartement si celui-ci : a) a été dès sa construction soumis au régime de la propriété par étages ou à une forme de propriété analogue ; b) était, le 30 mars 1985, soumis au régime de la propriété par étages ou à une forme de propriété</w:t>
      </w:r>
    </w:p>
    <w:p>
      <w:r>
        <w:t>- 8/13 - A/709/2009 analogue et qu’il avait déjà été cédé de manière individualisée ; c) n’a jamais été loué ; d) a fait une fois au moins l’objet d’une autorisation d’aliéner en vertu de la LDTR.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doit les revendre sous la même forme, sous réserve de l’obtention d’une autorisation individualisée au sens du présent alinéa.</w:t>
      </w:r>
    </w:p>
    <w:p>
      <w:r>
        <w:t>L’art. 13 al. 1 du règlement d’application de la LDTR du 28 avril 1996 (RLDTR – L 5 20.01) précise que dans le cadre de l’examen de la requête en autorisation, le département procède à la pesée des intérêts publics et privés en présence.</w:t>
      </w:r>
    </w:p>
    <w:p>
      <w:r>
        <w:t>b. Le Tribunal fédéral, dans une jurisprudence déjà ancienne mais confirmée à plusieurs reprises depuis lors, avait partiellement annulé la disposition de l’époque (art. 9A aLDTR, depuis lors remplacé par l’art. 39 LDTR) en rappelant qu’une législation édictée pour des motifs d’intérêt public et prévoyant des restrictions aux droits constitutionnels des administrés, tels que la garantie de la propriété ou la liberté économique, doit notamment respecter le principe de la proportionnalité.</w:t>
      </w:r>
    </w:p>
    <w:p>
      <w:r>
        <w:t>En application de ce principe, la restriction à la liberté individuelle ne doit pas entraîner une atteinte plus grave que ne l’exige le but d’intérêt public recherché (ATF 113 Ia 126 ss notamment consid. 8 a, ci-après aussi «arrêt Armengol» p. 138 ; Arrêt du Tribunal fédéral 1P.19/2003 du 8 avril 2003, consid. 1 ; ATF 128 I 206 consid. 5.2.4 p. 211 et réf. citées). Et le Tribunal fédéral d’en conclure que l’autorité chargée de délivrer les autorisations de vente doit se livrer au préalable à une soigneuse pesée des intérêts publics et privés en présence.</w:t>
      </w:r>
    </w:p>
    <w:p>
      <w:r>
        <w:t>A cela s'ajoute que, en vertu du principe général de la proportionnalité, le département dispose d’une marge d’appréciation lui permettant de délivrer une autorisation de vente en dehors des cas prévus par l’art. 39 al. 4 let. a à d LDTR (Arrêt du Tribunal fédéral non publié du 19 avril 1999 en la cause UBS, résumé in SJ 1999 II p. 287), à condition toutefois de procéder au préalable à une pesée des intérêts en présence.</w:t>
      </w:r>
    </w:p>
    <w:p>
      <w:r>
        <w:t>Quant au processus d’aliénation d’appartements en PPE d’un même immeuble, la vente en bloc doit être préférée à la vente par unités séparées, ce procédé-là ne mettant en principe pas en péril les buts de la LDTR (Arrêt du Tribunal fédéral précité ; ATA/244/2007 du 15 mai 2007 et les réf. citées).</w:t>
      </w:r>
    </w:p>
    <w:p>
      <w:r>
        <w:rPr>
          <w:b/>
        </w:rPr>
        <w:t>E. 4</w:t>
      </w:r>
    </w:p>
    <w:p>
      <w:r>
        <w:t>En l’espèce, la condition de la let. b de l’art. 39 al. 4 est remplie dans la mesure où au 30 mars 1985 l’immeuble était soumis au régime de la PPE. La</w:t>
      </w:r>
    </w:p>
    <w:p>
      <w:r>
        <w:t>- 9/13 - A/709/2009 condition de la let. d l'est également, si tant est que lesdits appartements ont fait l’objet d’une autorisation d’aliéner en vertu de la LDTR le 22 juin 2006.</w:t>
      </w:r>
    </w:p>
    <w:p>
      <w:r>
        <w:t>Il n’est pas contestable que l’opération projetée équivaut précisément à une aliénation individualisée. A cet égard, les recourants soutiennent que le refus qui leur a été opposé viole l'art. 650 CCS consacrant le droit au partage des copropriétaires indivis.</w:t>
      </w:r>
    </w:p>
    <w:p>
      <w:r>
        <w:t>a. Selon le principe de la force dérogatoire du droit fédéral, tel qu’il résulte de l'art. 49 de la Constitution fédérale de la Confédération suisse du 18 avril 1999 (Cst. - RS 101), le droit fédéral prime le droit cantonal qui lui est contraire. Cela signifie que les cantons ne sont pas autorisé à légiférer dans les domaines exhaustivement réglementés par le droit fédéral. Dans les autres domaines, les cantons ne peuvent édicter des règles de droit qui éludent des prescriptions de droit fédéral ou qui en contredisent le sens ou l'esprit, notamment par leur but ou par les moyens qu'elles mettent en œuvre, ou qui empiètent sur des matières que le législateur fédéral a réglementé de façon exhaustive (Arrêt du Tribunal fédéral 1P. 270/2002 du 19 juin 2002 et les réf. citées).</w:t>
      </w:r>
    </w:p>
    <w:p>
      <w:r>
        <w:t>b. Les restrictions de droit public cantonal à la propriété ne sont compatibles avec l'art. 26 al. 1 Cst. que si elles reposent sur une base légale, sont justifiées par un intérêt public suffisant et respectent les principes de la proportionnalité et de l'égalité devant la loi. Quel que soit l'intérêt public que le législateur cantonal considère comme légitime pour restreindre le droit de propriété des destinataires de la norme, il doit veiller à sauvegarder les facultés essentielles de disposition, d'usage et de jouissance qui découle du droit de propriété et de ne pas porter atteinte à la substance de celles-ci en tant qu'institution fondamentale de l'ordre public suisse (art. 34 al. 4 Cst. ; ATF 116 I a 401 et les réf. citées).</w:t>
      </w:r>
    </w:p>
    <w:p>
      <w:r>
        <w:t>Le Tribunal fédéral a jugé que la LDTR avait pour but de préserver l'habitat et les conditions de vie existant, ainsi que le caractère actuel de l'habitat dans les zones de construction mentionné dans la LDTR, en restreignant le changement d'affectation des maisons d'habitation et l'aliénation des appartements destinés à la location. Pour la haute Cour, cette politique procédait d'un intérêt public important. Dès lors, le refus de l'autorisation de vendre un appartement loué lorsqu'un motif prépondérant d'intérêt public ou d'intérêt général s'y oppose n'est pas contraire au principe de la proportionnalité, pourvu que l'autorité administrative puisse effectuer une pesée des intérêts en présence, et évaluer l'importance du motif de refus envisagé au regard des intérêts privé en jeu (Arrêt du Tribunal fédéral 1P. 559/2001 du 25 février 2002 et les réf. citées).</w:t>
      </w:r>
    </w:p>
    <w:p>
      <w:r>
        <w:t>Ainsi, contrairement à la thèse soutenue par les recourants, la question qui se pose en espèce n'est pas tant la primauté du droit fédéral que celle du respect du principe de la proportionnalité. En effet, il n'est pas contesté que la LDTR fait partie du droit public cantonal auquel s'applique la réserve de l'art. 6 al. 1 CCS.</w:t>
      </w:r>
    </w:p>
    <w:p>
      <w:r>
        <w:t>- 10/13 - A/709/2009</w:t>
      </w:r>
    </w:p>
    <w:p>
      <w:r>
        <w:rPr>
          <w:b/>
        </w:rPr>
        <w:t>E. 5</w:t>
      </w:r>
    </w:p>
    <w:p>
      <w:r>
        <w:t>Afin de déterminer si l’opération est autorisable, il est dès lors nécessaire - comme l’a fait l’autorité intimée -, de procéder à une pesée des intérêts publics et privés en présence.</w:t>
      </w:r>
    </w:p>
    <w:p>
      <w:r>
        <w:t>S’agissant des intérêts privés des copropriétaires, ceux-ci sont assurément purement et exclusivement économiques.</w:t>
      </w:r>
    </w:p>
    <w:p>
      <w:r>
        <w:t>Certes, les recourants avancent que le produit des ventes éventuelles serait affecté à la construction d'autre logement et à cet égard donnent une liste des constructions récemment autorisées par le département dont l'un ou l'autre d'entre eux serait propriétaire. Si cet élément peut donner un certain poids à leur requête, le Tribunal administratif ne saurait occulter le fait qu'ils ont acquis les appartements concernés en pleine connaissance de cause et accepté expressément la condition n° 4 de l'arrêté du 22 juin 2006, laquelle excluait d'emblée une aliénation individualisée des appartements concernés au nombre desquels figurent les cinq unités objet de la procédure.</w:t>
      </w:r>
    </w:p>
    <w:p>
      <w:r>
        <w:t>En ce qui concerne l’intérêt public consistant à conserver un parc immobilier locatif, force est d’admettre qu’il n’est pas directement mis en danger, le partage-attribution envisagé ne modifiant pas, en soi, le caractère locatif des appartements.</w:t>
      </w:r>
    </w:p>
    <w:p>
      <w:r>
        <w:t>Cela dit, le fait de transformer un lot de cinq appartements en cinq logements distincts n’est pas indifférent au regard de la LDTR. En effet, l’intérêt à l’acquisition de son logement par le locataire en place depuis trois ans au moins est présumé l’emporter sur l’intérêt public à le garder dans le parc immobilier locatif, pour autant que 60 % des locataires en place acceptent formellement la transaction (art. 39 al. 3 LDTR). Il s'ensuit que l'opération litigieuse diminuerait concrètement la protection du parc locatif en facilitant la vente à des locataires en place.</w:t>
      </w:r>
    </w:p>
    <w:p>
      <w:r>
        <w:t>Ainsi, face à l'intérêt public, prépondérant dans la situation qui est celle du marché locatif genevois et qui ne s'est pas modifiée depuis l'arrêt du tribunal de céans du 15 mai 2007 (ATA/244/2007), l'intérêt privé des recourants doit s'effacer, comme l'a admis la commission.</w:t>
      </w:r>
    </w:p>
    <w:p>
      <w:r>
        <w:rPr>
          <w:b/>
        </w:rPr>
        <w:t>E. 6</w:t>
      </w:r>
    </w:p>
    <w:p>
      <w:r>
        <w:t>Les recourants se réclament du principe de l'égalité de traitement en argumentant d'une part qu'entre 2006 et 2008 les notaires rédigeaient des actes de partage immobilier de lots d'appartements que le registre foncier enregistrait, sans même en informer le département et d'autre part en comparant leur situation avec celle des immeubles avenue Sainte-Cécile 29-31 à Meyrin.</w:t>
      </w:r>
    </w:p>
    <w:p>
      <w:r>
        <w:rPr>
          <w:b/>
        </w:rPr>
        <w:t>E. 7</w:t>
      </w:r>
    </w:p>
    <w:p>
      <w:r>
        <w:t>Une décision ou un arrêté viole le principe de l’égalité de traitement garanti par l’art. 8 Cst. lorsqu’il établit des distinctions juridiques qui ne se justifient par aucun motif raisonnable au regard de la situation de fait à réglementer ou lorsqu’il</w:t>
      </w:r>
    </w:p>
    <w:p>
      <w:r>
        <w:t>- 11/13 - A/709/2009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w:t>
      </w:r>
    </w:p>
    <w:p>
      <w:r>
        <w:t>Sur le premier point, il est exact que le mode de procéder du département en la matière n'était pas satisfaisant. Dans son arrêt 1 c _505/2008 du 17 février 2009, le Tribunal fédéral a relevé que la pratique des autorités genevoise en matière de partages - attributions n'était pas claire. En 2007 encore, le département avait indiqué que ces opérations, qui apparaissaient destinées à éluder la LDTR, étaient problématiques car elles étaient effectuées directement auprès du registre foncier qui les enregistrait et le département renonçait à intervenir dans le cas d'espèce. Depuis lors, le département a revu sa façon de procéder et a adressé à toutes les personnes concernées la circulaire du 16 mai 2008. Or, il n'est pas interdit aux autorités administrative de changer la pratique qu'elles ont suivie jusque-là, si elles considèrent qu'une autre application du droit, une autre appréciation du champ de la loi où une modification des conditions seraient plus satisfaisantes. Un tel changement de pratique doit toutefois se fonder sur des motifs sérieux et objectifs (ATF 127 I 49 consid. 3 c p. 52 ; 125 II consid. 4 c/aa p. 162 ; Arrêt du Tribunal fédéral 1A.146/2006 du 25 janvier 2007 consid. 4.4 ; ATA/298/2009 déjà cité).</w:t>
      </w:r>
    </w:p>
    <w:p>
      <w:r>
        <w:t>En l'espèce, le département a tenu compte des injonctions émises notamment par la haute cour et en a informé les personnes et offices concernés. On ne saurait donc lui reprocher d'avoir pris des dispositions pour une plus juste application de l'art. 39 LDTR.</w:t>
      </w:r>
    </w:p>
    <w:p>
      <w:r>
        <w:t>Quant au second point, à savoir une inégalité de traitement entre les recourants et les propriétaires des immeubles 29-31 LDTR, le tribunal ne peut que constater que ceux-là n'ont nullement étayé leur grief, pas plus par écrit que lors de l'audience de comparution personnelle du 29 juin 2009. Il n'y a donc pas lieu d'entrer en matière sur cette argumentation.</w:t>
      </w:r>
    </w:p>
    <w:p>
      <w:r>
        <w:t>En tout point mal fondé, le recours sera rejeté.</w:t>
      </w:r>
    </w:p>
    <w:p>
      <w:r>
        <w:t>Un émolument de CHF 1'800.- sera mis à la charge conjointe et solidaire des recourants (art. 87 LPA). Il ne sera pas alloué d’indemnité.</w:t>
      </w:r>
    </w:p>
    <w:p>
      <w:r>
        <w:t>* * * * *</w:t>
      </w:r>
    </w:p>
    <w:p>
      <w:r>
        <w:t>- 12/13 - A/709/2009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