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ATA/354/2026 vom 14. April 2026</w:t>
      </w:r>
    </w:p>
    <w:p>
      <w:r>
        <w:t>GE Cour de justice, 2026-04-14, FR</w:t>
      </w:r>
    </w:p>
    <w:p>
      <w:r>
        <w:rPr>
          <w:b/>
        </w:rPr>
        <w:t xml:space="preserve">Quelle: </w:t>
      </w:r>
      <w:r>
        <w:t>https://mcp.opencaselaw.ch/entscheid/ge_gerichte_ATA_354_2026</w:t>
      </w:r>
    </w:p>
    <w:p>
      <w:r>
        <w:t>FR: GE_GERICHTE ATA/354/2026 du 14 avril 2026</w:t>
      </w:r>
    </w:p>
    <w:p>
      <w:r>
        <w:t>IT: GE_GERICHTE ATA/354/2026 del 14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et celle de témoins, notamment N______, Q______ (devenu R______, dans la réplique, sans explication), ses neveux, ainsi que de clients réguliers aux fins de prouver sa « capacité entrepreneuriale rare »,</w:t>
      </w:r>
    </w:p>
    <w:p>
      <w:r>
        <w:t>- 7/17 - A/1664/2025 son investissement de plus de CHF 15'000.- dans son local professionnel et la réalité de son exploitation du barbershop.</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même à retenir que le recourant exploite, seul, le barbershop des O______, où il aurait investi CHF 15'000.- et que, dès l’obtention d’un permis de séjour, il pourrait en reprendre légalement la direction à son nom, ces éléments ne sont pas de nature à modifier l’issue du litige en raison des considérants qui suivent. Il n’est dès lors pas nécessaire de procéder à l’audition des neveux ni à celui des clients. De même, les nombreuses lettres de recommandation mettent en avant les qualités personnelles et professionnelles de l’intéressé, non contestées par l’autorité intimée. Par appréciation anticipée des preuves, il sera renoncé à l’audition des témoins proposés.</w:t>
      </w:r>
    </w:p>
    <w:p>
      <w:r>
        <w:rPr>
          <w:b/>
        </w:rPr>
        <w:t>E. 3</w:t>
      </w:r>
    </w:p>
    <w:p>
      <w:r>
        <w:t>Le recourant se plaint d’une violation de son droit d’être entendu à un double titre. D’une part, l’OCPM avait ignoré ses observations du 20 mars 2025 et passé sous silence le fait décisif de son exploitation du barbershop des O______. D’autre part, le TAPI n’avait pas réparé le vice, n’avait pas auditionné de témoins et avait tiré des conclusions factuelles inexactes retenant l’existence d’une faillite à partir de recherches unilatérales non soumises aux parties.</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2C_463/2024 du 20 février 2025 consid. 5.1).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Cst. ; arrêt du Tribunal fédéral 4A_15/2010 du 15 mars 2010 consid. 3).</w:t>
      </w:r>
    </w:p>
    <w:p>
      <w:r>
        <w:rPr>
          <w:b/>
        </w:rPr>
        <w:t>E. 3.2</w:t>
      </w:r>
    </w:p>
    <w:p>
      <w:r>
        <w:t>La violation du droit d’être entendu doit en principe entraîner l’annulation de la décision attaquée, indépendamment des chances du recourant sur le fond (ATF 144</w:t>
      </w:r>
    </w:p>
    <w:p>
      <w:r>
        <w:t>- 8/17 - A/1664/2025 I 11 consid. 5.3). Une réparation devant l’instance de recours est possible si celle‑ci jouit du même pouvoir d’examen que l’autorité intimée (ATF 145 I 167 consid. 4.4). La réparation dépend cependant de la gravité et de l'étendue de l'atteinte portée au droit d'être entendu et doit rester l'exception. Elle peut se justifier en présence d'un vice grave notamment lorsque le renvoi constituerait une vaine formalité et aboutirait à un allongement inutile de la procédure (ATF 142 II 218 consid. 2.8.1), ce qui serait incompatible avec l'intérêt de la partie concernée à ce que sa cause soit tranchée dans un délai raisonnable (ATF 142 II 218 consid. 2.8.1).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(ATA/508/2025 du 6 mai 2025 consid. 4.3).</w:t>
      </w:r>
    </w:p>
    <w:p>
      <w:r>
        <w:rPr>
          <w:b/>
        </w:rPr>
        <w:t>E. 3.3</w:t>
      </w:r>
    </w:p>
    <w:p>
      <w:r>
        <w:t>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rPr>
          <w:b/>
        </w:rPr>
        <w:t>E. 3.4</w:t>
      </w:r>
    </w:p>
    <w:p>
      <w:r>
        <w:t>En l’espèce, il est exact, comme retenu par le TAPI, que la décision de l’OCPM contient une ambiguïté. Même à suivre le recourant et à retenir que l’autorité n’aurait pas tenu compte de ses observations du 20 mars 2025, singulièrement de son intégration professionnelle et de la situation de sa fille, l’autorité s’est déterminée sur ces points dans le cadre de la procédure devant le TAPI. Le recourant a pu répliquer. C’est dès lors à juste titre que ladite juridiction a considéré qu’en tous les cas une éventuelle violation du droit d’être entendu du recourant par l’OCPM aurait été réparée dans le cadre de la procédure judiciaire. S’agissant de la faillite retenue par le TAPI, il est exact que les parties n’ont pas été interpellées sur ce fait. Le recourant explique, devant la chambre de céans, que ne pouvant être reconnu indépendant sans un permis valable, il avait fait inscrire son propre établissement des O______ au nom de son neveu, Q______. Il produit un extrait du registre du commerce attestant d’une inscription, le 13 octobre 2025, d’une entreprise individuelle « Q______», sise chemin des O______ au M______ pour l’exploitation d’un salon de coiffure pour hommes, barbier. Cette inscription ne traduirait aucune volonté de dissimulation mais permettrait uniquement de respecter les exigences formelles liées au statut d’indépendant, alors même que, dans la réalité quotidienne, il y travaillerait, entretiendrait la clientèle, y aurait investi CHF 15'000.- et vivrait de cette activité. Le TAPI, procédant à ses propres recherches, avait retenu que l’ « autre entité familiale » avait été mise en faillite, ce qui l’avait conduit à minorer son intégration économique. Cette conclusion était erronée, car la faillite prononcée le 15 septembre 2025 concernait l’entreprise</w:t>
      </w:r>
    </w:p>
    <w:p>
      <w:r>
        <w:t>- 9/17 - A/1664/2025 individuelle « A______ », rue S______ , ayant pour but un salon de coiffure pour hommes/barber, dont N______ était titulaire, étant précisé que la faillite avait été annulée par la Cour de justice civile le 1er octobre 2025. Le TAPI s’était ainsi fondé sur une information dépassée, recueillie « sans contradictoire » et non soumise aux parties pour observations, aggravant le vice initial. Dès lors, toutefois, que le recourant a pu détailler, dans le cadre de son recours devant la chambre administrative, sa position et fournir toute explication et pièce utile, une éventuelle violation du droit d’être entendu a été réparée. Le recourant a de même pu se déterminer dans le cadre d’une réplique à la suite des observations de l’OCPM devant la chambre de céans. Le grief de violation du droit d’être entendu sera en conséquence rejeté, la question d’un éventuel établissement inexact de ce fait par le TAPI relevant du fond du litige.</w:t>
      </w:r>
    </w:p>
    <w:p>
      <w:r>
        <w:rPr>
          <w:b/>
        </w:rPr>
        <w:t>E. 4</w:t>
      </w:r>
    </w:p>
    <w:p>
      <w:r>
        <w:t>Le litige porte sur le refus de l'OCPM de délivrer au recourant une autorisation de séjour et de transmettre son dossier au SEM avec un préavis favorable, ainsi que sur le renvoi de l’intéressé de Suisse.</w:t>
      </w:r>
    </w:p>
    <w:p>
      <w:r>
        <w:rPr>
          <w:b/>
        </w:rPr>
        <w:t>E. 5</w:t>
      </w:r>
    </w:p>
    <w:p>
      <w:r>
        <w:t>Le recourant se plaint d’une violation des art. 30 LEI, 31 OASA et d’un abus du pouvoir d’appréciation.</w:t>
      </w:r>
    </w:p>
    <w:p>
      <w:r>
        <w:rPr>
          <w:b/>
        </w:rPr>
        <w:t>E. 5.1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rPr>
          <w:b/>
        </w:rPr>
        <w:t>E. 5.2</w:t>
      </w:r>
    </w:p>
    <w:p>
      <w:r>
        <w:t>L'art. 30 al. 1 let. b LEI permet de déroger aux conditions d'admission, telles que prévues aux art. 18 à 29 LEI, notamment dans le but de tenir compte des cas individuels d'une extrême gravité ou d'intérêts publics majeurs.</w:t>
      </w:r>
    </w:p>
    <w:p>
      <w:r>
        <w:rPr>
          <w:b/>
        </w:rPr>
        <w:t>E. 5.3</w:t>
      </w:r>
    </w:p>
    <w:p>
      <w:r>
        <w:t>À teneur de l'art. 31 al. 1 OASA, lors de l'appréciation de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5.4</w:t>
      </w:r>
    </w:p>
    <w:p>
      <w:r>
        <w:t>Selon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5.5</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w:t>
      </w:r>
    </w:p>
    <w:p>
      <w:r>
        <w:t>- 10/17 - A/1664/2025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5.6</w:t>
      </w:r>
    </w:p>
    <w:p>
      <w:r>
        <w:t>La jurisprudence requiert, de manière générale, une très longue durée (Minh Son NGUYEN/Cesla AMARELLE, Code annoté de droit des migrations, LEtr, vol. 2, 2017, p. 269). Par durée assez longue, la jurisprudence entend une période de sept à huit ans (arrêt du Tribunal administratif fédéral [ci-après : ATAF]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w:t>
      </w:r>
    </w:p>
    <w:p>
      <w:r>
        <w:t>- 11/17 - A/1664/2025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5.7</w:t>
      </w:r>
    </w:p>
    <w:p>
      <w:r>
        <w:t>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5.8</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5.9</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5.10</w:t>
      </w:r>
    </w:p>
    <w:p>
      <w:r>
        <w:t>En l’espèce, si certes le recourant démontre une certaine intégration, le TAPI a dûment analysé chacun des critères dans des considérants développés et fouillés. L’intéressé ne peut être suivi lorsqu’il critique une analyse trop théorique des critères. Son argumentation se limite en effet à mettre en avant les éléments, connus</w:t>
      </w:r>
    </w:p>
    <w:p>
      <w:r>
        <w:t>- 12/17 - A/1664/2025 du dossier, écartés par le juge de première instance. Ainsi, concernant par exemple le critère des possibilités de réintégration dans l'État de provenance (art. 31 let. g OASA), l’absence de réseau, de logement, de perspectives concrètes, la longue rupture avec le pays et le décès de ses parents, invoqués par l’intéressé, sont pertinents mais doivent être appréciés à l’aune de toutes les circonstances et ne sont pas de nature à pouvoir infléchir la solution. Si certes ces éléments ne contribueront pas à faciliter le retour de l’intéressé, ceux retenus par le TAPI, à l’instar de sa bonne santé, son âge encore jeune, de la maîtrise de son métier de coiffeur qu’il pourra exercer dans son pays d’origine, de la connaissance des usages locaux de son pays d’origine, voire de la mise à profit de ses compétences en français, sont justes, reposent sur le dossier et contrebalancent ceux mis en perspective par le recourant. Dès lors, c’est à juste titre que tant l’OCPM que le TAPI ont conclu que la réintégration au Kosovo de l’intéressé pouvait être exigée. Le critère de la durée du séjour, dont le recourant fait grand cas, doit, contrairement à ce qu’il soutient, être relativisé lorsque l'étranger a séjourné en Suisse de manière illégale, conformément à la jurisprudence, sous peine de récompenser l'obstination à violer la loi (ATF 130 II 39 consid. 3 ; arrêt du Tribunal fédéral 2D_13/2016 du 11 mars 2016 consid. 3.2). C’est dès lors conformément au droit que l’OCPM et le TAPI ont nuancé ce critère, ce d’autant plus que l’intéressé en tire profit, par exemple sous l’angle de son intégration tant professionnelle que privée, du développement de son commerce ou de sa connaissance du français, critères dont il se prévaut. Il est rappelé que sa demande de permis de séjour en vue de l’exercice d’une activité lucrative avait été rejetée par l’OCIRT, que le recourant avait demandé l’annulation de cette décision mais que l’OCPM lui avait expressément rappelé, par courriel du 19 décembre 2024, qu’il n’était pas autorisé à travailler, ce qu’il n’a pas respecté. Il sera de même relevé que s’il insiste sur ses liens avec sa fille aînée, la situation de ses autres enfants et de son épouse est totalement tue, y compris dans les formulaires officiels, à l’instar du dernier formulaire M, rempli en novembre 2024, où il est indiqué qu’il n’a pas d’enfants. Ainsi, l’appréciation globale que réclame le recourant ne peut faire l’économie de l’analyse préalable de chacun des critères. Il n’est pas contesté qu’il ressort du dossier que l’intéressé est apprécié tant pour ses qualités professionnelles que personnelles. L’octroi d’un permis de séjour pour cas de rigueur répond toutefois à des exigences extrêmement strictes, conformément à la jurisprudence susmentionnée. Or, il ne peut être soutenu, qu’en cas de retour dans son pays d’origine, les conditions de la réintégration sociale du recourant, au regard de sa situation personnelle, professionnelle et familiale, seraient gravement compromises. Il ne peut de même être soutenu que l’intéressé se trouve dans une situation de détresse personnelle au sens où l’exige la loi. Contrairement à ce qu’il prétend, l’autorité intimée s’est fondée sur des critères pertinents sans qu’il puisse lui être reproché d’avoir violé la loi ou abusé de son pouvoir d’appréciation.</w:t>
      </w:r>
    </w:p>
    <w:p>
      <w:r>
        <w:t>- 13/17 - A/1664/2025</w:t>
      </w:r>
    </w:p>
    <w:p>
      <w:r>
        <w:rPr>
          <w:b/>
        </w:rPr>
        <w:t>E. 6</w:t>
      </w:r>
    </w:p>
    <w:p>
      <w:r>
        <w:t>Le recourant invoque une violation de l’art. 8 CEDH sous l’angle du respect de sa vie privée et familiale.</w:t>
      </w:r>
    </w:p>
    <w:p>
      <w:r>
        <w:rPr>
          <w:b/>
        </w:rPr>
        <w:t>E. 6.1</w:t>
      </w:r>
    </w:p>
    <w:p>
      <w:r>
        <w:t>Aux termes des art. 8 CEDH et 13 Cst., toute personne a notamment droit au respect de sa vie privée et familiale.</w:t>
      </w:r>
    </w:p>
    <w:p>
      <w:r>
        <w:rPr>
          <w:b/>
        </w:rPr>
        <w:t>E. 6.2</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w:t>
      </w:r>
    </w:p>
    <w:p>
      <w:r>
        <w:rPr>
          <w:b/>
        </w:rPr>
        <w:t>E. 6.3</w:t>
      </w:r>
    </w:p>
    <w:p>
      <w:r>
        <w:t>Un étranger peut invoquer la protection de la vie familiale découlant des art. 13 Cst. et 8 CEDH pour obtenir le droit de demeurer en Suisse lorsqu’il entretient une relation étroite et effective avec une personne de sa famille ayant le droit de résider durablement en Suisse (ATF 139 I 330 consid. 2.1 ; 137 I 284 consid. 1.3 ; ATA/210/2024 du 13 février 2024 consid. 2.9).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CDE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6.4</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6.5</w:t>
      </w:r>
    </w:p>
    <w:p>
      <w:r>
        <w:t>En l’espèce, cette dernière hypothèse ne saurait être applicable au recourant, la durée de son séjour étant inférieure à dix ans si bien qu’il ne peut se prévaloir,</w:t>
      </w:r>
    </w:p>
    <w:p>
      <w:r>
        <w:t>- 14/17 - A/1664/2025 conformément au considérant qui précède, de liens sociaux et professionnels spécialement intenses avec la Suisse. De même, sa fille résidant à Genève est majeure. Les deux intéressés ne font pas ménage commun, et il n’existe pas de rapport de dépendance particulier entre eux, le seul fait d’avoir cohabité quelques années selon les allégations du père, de verser une contribution d’entretien à son enfant majeur encore en études ou d’avoir choisi de vivre dans la même ville ne suffisant pas pour faire obstacle à son renvoi de Suisse. La « petite-fille », évoquée pour la première fois et sans aucune explication dans la réplique, n’est pas de nature à modifier ce qui précède. Le grief de violation de l’art. 8 CEDH doit ainsi être écarté. Au vu de ce qui précède, l’OCPM n’a pas violé la loi, ni commis un abus de son pouvoir d’appréciation, en refusant de préaviser favorablement auprès du SEM la demande d’autorisation de séjour présentée par le recourant.</w:t>
      </w:r>
    </w:p>
    <w:p>
      <w:r>
        <w:rPr>
          <w:b/>
        </w:rPr>
        <w:t>E. 7</w:t>
      </w:r>
    </w:p>
    <w:p>
      <w:r>
        <w:t>Reste encore à examiner si les conditions permettant l’exécution du renvoi du recourant sont remplies.</w:t>
      </w:r>
    </w:p>
    <w:p>
      <w:r>
        <w:rPr>
          <w:b/>
        </w:rPr>
        <w:t>E. 7.1</w:t>
      </w:r>
    </w:p>
    <w:p>
      <w:r>
        <w:t>Les autorités compétentes rendent une décision de renvoi ordinaire à l'encontre d'un étranger auquel l'autorisation de séjour est refusée ou dont l'autorisation n'est pas prolongée (art. 64 al. 1 let. c LEI). Selon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7.2</w:t>
      </w:r>
    </w:p>
    <w:p>
      <w:r>
        <w:t>Dès lors que l’OCPM a, à juste titre, refusé l’octroi d’une autorisation de séjour au recourant, il devait prononcer son renvoi. Aucun motif ne permet de retenir que l’exécution du renvoi ne serait pas possible, licite ou ne pourrait raisonnablement être exigée. Le recourant se contente de prétendre qu’un retour au Kosovo serait pour lui inexigible en raison de son intégration en Suisse et de la durée de son séjour, mais ces éléments – déjà examinés plus haut pour déterminer s’il remplissait les conditions d’un cas d’extrême gravité – ne correspondent pas aux exigences jurisprudentielles permettant de retenir l’inexigibilité de l’exécution d’un renvoi. Entièrement mal fondé, le recours sera rejeté.</w:t>
      </w:r>
    </w:p>
    <w:p>
      <w:r>
        <w:t>- 15/17 - A/1664/2025</w:t>
      </w:r>
    </w:p>
    <w:p>
      <w:r>
        <w:rPr>
          <w:b/>
        </w:rPr>
        <w:t>E. 8</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