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ATA/353/2021 vom 23. März 2021</w:t>
      </w:r>
    </w:p>
    <w:p>
      <w:r>
        <w:t>GE Cour de justice, 2021-03-23, FR</w:t>
      </w:r>
    </w:p>
    <w:p>
      <w:r>
        <w:rPr>
          <w:b/>
        </w:rPr>
        <w:t xml:space="preserve">Quelle: </w:t>
      </w:r>
      <w:r>
        <w:t>https://mcp.opencaselaw.ch/entscheid/ge_gerichte_ATA_353_2021</w:t>
      </w:r>
    </w:p>
    <w:p>
      <w:r>
        <w:t>FR: GE_GERICHTE ATA/353/2021 du 23 mars 2021</w:t>
      </w:r>
    </w:p>
    <w:p>
      <w:r>
        <w:t>IT: GE_GERICHTE ATA/353/2021 del 23 marzo 2021</w:t>
      </w:r>
    </w:p>
    <w:p>
      <w:pPr>
        <w:pStyle w:val="Heading2"/>
      </w:pPr>
      <w:r>
        <w:t>Regeste</w:t>
      </w:r>
    </w:p>
    <w:p>
      <w:r>
        <w:t>Résumé: Examen de la conformité au droit d’arrêtés du Conseil d’État modifiant partiellement le plan de site de la Rade n. 28392G-610 et rejetant une demande d’autorisation de construire un immeuble administratif sur le site de la Rade. Examen complet de l’historique de l’aménagement de la Rade, en particulier des bâtiments de bureaux et de banques et de l’importance de l’écoulement du temps sur le regard porté sur le patrimoine et les critères de sa protection. Recours du requérant de l’autorisation de construire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des arrêtés du 27 avril 2020 modifiant le plan de site et rejetant l’opposition de la recourante en ce qu’ils attribuent à son immeuble la valeur « intéressant ». 3)</w:t>
      </w:r>
    </w:p>
    <w:p>
      <w:r>
        <w:t>La recourante se plaint de la violation de son droit d’être entendue, faute pour les arrêtés querellés d’être suffisamment motivés.</w:t>
      </w:r>
    </w:p>
    <w:p>
      <w:r>
        <w:t>a. 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w:t>
      </w:r>
    </w:p>
    <w:p>
      <w:r>
        <w:t>- 13/25 - A/1518/2020 elle peut au contraire se limiter à ceux qui lui paraissent pertinents (ATF 138 I 232 consid. 5.1; 137 II 266 consid. 3.2; 136 I 229 consid. 5.2). La motivation peut pour le reste être implicite et résulter des différents considérants de la décision (arrêts du Tribunal fédéral 6B_970/2013 du 24 juin 2014 consid. 3.1 et 6B_1193/2013 du 11 février 2014 consid. 1.2).</w:t>
      </w:r>
    </w:p>
    <w:p>
      <w:r>
        <w:t>b. En l’espèce, les arrêtés attaqués ont repris les griefs soulevés par la recourante dans son opposition, qu’ils ont réfutés. S’agissant des qualités du bâtiment, ils ont rappelé les constats opérés par la fiche de recensement pour souligner, en détail, la valeur tant individuelle que d’ensemble (arrêté, consid. 2.3, pp. 4-5).</w:t>
      </w:r>
    </w:p>
    <w:p>
      <w:r>
        <w:t>Il ressort de son courrier du 21 novembre 2017 que la recourante connaissait déjà la valeur accordée par la CMNS à la façade. Celle-ci avait été évoquée dans la fiche de recensement du 31 mai 2017 ainsi que dans le préavis de la séance plénière de la CMNS du même jour qui approuvait les premières fiches et s’y référait. Le préavis mentionnait qu’en regard de ses qualités architecturales, principalement l’adéquation au site du volume, et l’expressivité du langage des façades, caractéristique de son époque de construction, la CMNS était défavorable à sa démolition. La fiche de recensement, pour autant qu’elle n’avait pas été remise à la recourante, lui était accessible dans le dossier auprès du DT.</w:t>
      </w:r>
    </w:p>
    <w:p>
      <w:r>
        <w:t>La motivation de la décision était ainsi suffisamment développée. Elle était suffisamment connue de la recourante pour que celle-ci puisse s’y opposer dans un premier temps, puis former un recours étayé et argumenté dans un second temps, ce qui montrait qu’elle connaissait bien la motivation des arrêtés.</w:t>
      </w:r>
    </w:p>
    <w:p>
      <w:r>
        <w:t>Le grief sera écarté. 4)</w:t>
      </w:r>
    </w:p>
    <w:p>
      <w:r>
        <w:t>L'assujettissement d'un immeuble à des mesures de conservation ou de protection du patrimoine naturel ou bâti constitue une restriction du droit de propriété garanti par l'art. 26 al. 1 de la Constitution fédérale de la Confédération suisse du 18 avril 1999 (Cst. - RS 101) ; pour être compatible avec cette disposition, l'assujettissement doit reposer sur une base légale – une loi au sens formel si la restriction est grave –, être justifié par un intérêt public et respecter le principe de la proportionnalité (art. 36 al. 1 à 3 Cst. ; ATF 126 I 219 consid. 2a et les arrêts cités). 5) a. En droit fédéral, les plans d’affectation règlent le mode d’utilisation du sol. Ils délimitent en premier lieu les zones à bâtir, les zones agricoles et les zones à protéger (art. 14 LAT). Les zones à protéger comprennent notamment les cours d’eau, les lacs et leurs rives (art. 17 al. let a LAT), les paysages d’une beauté particulière, d’un grand intérêt pour les sciences naturelles ou d’une grande valeur en tant qu’éléments du patrimoine culturel (art. 17 al. 1 let. b LAT) et les localités typiques, les lieux historiques, les monuments naturels ou culturels (art. 17 al. 1</w:t>
      </w:r>
    </w:p>
    <w:p>
      <w:r>
        <w:t>- 14/25 - A/1518/2020 let. c LAT). Lorsque les circonstances se sont sensiblement modifiées, les plans d’affectation font l’objet des adaptations nécessaires (art. 21 al. 2 LAT).</w:t>
      </w:r>
    </w:p>
    <w:p>
      <w:r>
        <w:t>b. En droit genevois, les plans de zone, qui sont des plans d’affectation du sol, comprennent les zones protégées, qui constituent des périmètres délimités à l’intérieur d’une zone à bâtir ordinaire ou de développement et qui ont pour but la protection de l’aménagement et du caractère architectural des quartiers et localités considérés (art. 12 al. 5 LALAT).</w:t>
      </w:r>
    </w:p>
    <w:p>
      <w:r>
        <w:t>Les plans de site de la LPMNS constituent des plans d’affectation spéciaux précisant l’affectation et le régime d’aménagement des terrains compris à l’intérieur d’une ou plusieurs zones (art. 13 al. 1 let c LALAT). Ils déploient des effets contraignants pour les particuliers (Thierry TANQUEREL, La participation de la population à l'aménagement du territoire, 1988, pp. 259 et 260).</w:t>
      </w:r>
    </w:p>
    <w:p>
      <w:r>
        <w:t>c. La LPMNS a pour but de conserver les monuments de l’histoire, de l’art ou de l’architecture, les antiquités immobilières ou mobilières situés ou trouvés dans le canton ainsi que le patrimoine souterrain hérité des anciennes fortifications de Genève (art. 1 let. a), de préserver l’aspect caractéristique du paysage et des localités, les immeubles et les sites dignes d’intérêt, ainsi que les beautés naturelles (art. 1 let. b), d’assurer la sauvegarde de la nature, en ménageant l’espace vital nécessaire à la flore et à la faune, et en maintenant les milieux naturels (art. 1 let. c), de favoriser l’accès du public à un site ou à son point de vue (art. 1 let. d), d’encourager toutes mesures éducatives et de soutenir les efforts entrepris en faveur de la protection des monuments, de la nature et des sites (art. 1 let. e) et d’encourager les économies d’énergie et la production d’énergies renouvelables lors de la rénovation d’immeubles au bénéfice d’une mesure de protection patrimoniale (art. 1 let. f).</w:t>
      </w:r>
    </w:p>
    <w:p>
      <w:r>
        <w:t>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et des immeubles et des sites dignes d’intérêt, ainsi que des beautés naturelles (art. 4 let. b).</w:t>
      </w:r>
    </w:p>
    <w:p>
      <w:r>
        <w:t>S’agissant des bâtiments, elle prévoit l’établissement d’un inventaire de tous les immeubles dignes d’être protégés au sens de l’art. 4 (art. 7 al. 1), ainsi que la possibilité pour le Conseil d’État d’ordonner la classement d’un monument ou d’une antiquité (art. 10).</w:t>
      </w:r>
    </w:p>
    <w:p>
      <w:r>
        <w:t>S’agissant de la nature et des sites, elle prévoit la protection des sites et paysages, espèces végétales et minéraux qui présentent un intérêt biologique, scientifique, historique, esthétique ou éducatif (art. 35 al. 1), soit notamment des paysages caractéristiques, tels que rives, coteaux, points de vue (art. 35 al. 2 let. a)</w:t>
      </w:r>
    </w:p>
    <w:p>
      <w:r>
        <w:t>- 15/25 - A/1518/2020 et ensembles bâtis qui méritent d’être protégés pour eux-mêmes ou en raison de leur situation privilégiée (art. 35 al. 2 let. b), sous réserve des dispositions de la loi sur les constructions et les installations diverses du 14 avril 1988 (LCI - L 5 05) sur les zones protégées.</w:t>
      </w:r>
    </w:p>
    <w:p>
      <w:r>
        <w:t>d. En ce qui concerne les sites, l’art. 38 LPMNS permet au Conseil d’État d’édicter les dispositions nécessaires à l’aménagement ou à la conservation d’un site protégé par l’approbation d’un plan de site assorti, le cas échéant, d’un règlement (al. 1). Les plans et règlements déterminent notamment les mesures propres à assurer la sauvegarde ou l’amélioration des lieux, telles que : maintien de bâtiments existants, alignement aux abords de lisières de bois et forêts ou de cours d’eau ; angles de vue, arborisation (al. 2 let. a), les conditions relatives aux constructions, installations et exploitations de toute nature (implantation, gabarit, volume, aspect, destination – al. 2 let. b) et les cheminements ouverts au public ainsi que les voies d’accès à un site ou à un point de vue (al. 2 let. c). À défaut d’autres règles fixées dans le plan de site ou son règlement, les art. 90, al. 1, et 93, al. 1, 2 et 4 LCI sont applicables par analogie aux travaux exécutés dans les immeubles déclarés maintenus, sous réserve des cas d’intérêt public (al. 3). Les immeubles maintenus au sens de l’al. 2, let. a, ne peuvent, sans l’autorisation du Conseil d’État, être démolis, transformés ou faire l’objet de réparations importantes (al. 4).</w:t>
      </w:r>
    </w:p>
    <w:p>
      <w:r>
        <w:t>Le projet de plan de site est élaboré par le DT, qui peut en prendre l’initiative, en collaboration avec la commune et la CMNS (art. 39 LPMNS). Il est soumis à une enquête publique d’au moins trente jours annoncée publiquement, au terme de laquelle le DT établit et publie un projet de décision, à laquelle toute personne, organisation ou autorité disposant de la qualité pour recourir peut faire opposition. Le Conseil d’État statue sur les oppositions, modifie cas échéant et adopte le plan de site. Si l’opposition émane d’une commune, le Grand Conseil est appelé à statuer sous forme de résolution. Le recours contre l’adoption du plan est régi par l’art. 36 LaLAT (art. 40 al. 1 à 9 LPMNS).</w:t>
      </w:r>
    </w:p>
    <w:p>
      <w:r>
        <w:t>Le plan fait l’objet d’un réexamen périodique. Sous réserve d’éléments d’ordre secondaire, pour lesquels une nouvelle enquête publique n’est pas nécessaire, sa modification ou son abrogation est soumise à la même procédure (art. 40 al. 10 LPMNS).</w:t>
      </w:r>
    </w:p>
    <w:p>
      <w:r>
        <w:t>e. Le règlement relatif au plan de site de la Rade adopté le 4 octobre 1993 a pour but de préserver le site de la Rade et, à ce titre, le caractère architectural et historique des bâtiments et ensembles situés à front de quai de la Rade et des places attenantes, ainsi que les autres éléments rattachés aux quais et au plan d'eau qui méritent protection (art. 1). En règle générale, le caractère du site doit être préservé, notamment l'implantation des constructions (art. 3 al. 1). L'architecture, les matériaux et teintes des constructions doivent respecter le caractère historique du quartier (art. 3 al. 2). Le plan désigne les bâtiments maintenus en raison de leur</w:t>
      </w:r>
    </w:p>
    <w:p>
      <w:r>
        <w:t>- 16/25 - A/1518/2020 intérêt architectural et historique ou de leur appartenance à un ensemble au sens des art. 80 et 90 LCI ; il désigne également les bâtiments d’architecture contemporaine qui présentent un intérêt particulier (art. 4 al. 1). En cas de rénovation ou de transformation de ces bâtiments maintenus, les structures porteuses, de même que, en règle générale, les éléments architecturaux caractéristiques, notamment les verrières, les décors intérieurs et extérieurs, les terrasses entre les bâtiments et la rue, doivent être sauvegardés (art. 4 al. 2). Pour les bâtiments maintenus, le gabarit de hauteur d’un bâtiment transformé ne peut excéder la hauteur du bâtiment existant. L’aménagement de locaux d’habitation dans les combles est possible dans la mesure où il n’est pas porté atteinte au caractère architectural des bâtiments, mais n’est pas admis dans les combles surmontant les étages à la Mansart (art. 7 al. 1). 6)</w:t>
      </w:r>
    </w:p>
    <w:p>
      <w:r>
        <w:t>La protection par le plan de site est plus large et plus souple que le classement ou l’inscription à l’inventaire. Dans le cadre de la première LPMNS, du 19 juin 1920, le classement constituait la seule mesure de droit public à la disposition des autorités pour assurer la conservation des bâtiments dignes de protection. Généralement, cette mesure ne pouvait concerner qu’un seul bâtiment à la fois ou une partie d’un bâtiment. Le législateur a toutefois expressément pris le parti de protéger légalement des biens patrimoniaux appréhendés plus largement. Cette option a été explicitement motivée comme suit dans l’exposé des motifs à l’appui du projet de la nouvelle LPMNS, du 4 juin 1976 : « Au fil du temps, le cercle des biens dignes de protection et dont la sauvegarde revêt un caractère croissant d’intérêt général s’est considérablement élargi pour s’étendre à de nouvelles composantes du patrimoine commun que menacent ou détruisent les nuisances de notre société […] Ce phénomène est particulièrement sensible dans notre canton, dont le territoire fort exigu abrite une agglomération en expansion. Partout, en Europe et ailleurs, ces questions préoccupent les autorités chargées de l’aménagement du territoire […] Dans le cadre genevois beaucoup plus modeste, il convient de protéger particulièrement certains lieux : monuments, ensembles bâtis ou naturels, paysages particulièrement remarquables, etc., et d’en ouvrir – si possible – l’accès à la population soucieuse de sauvegarder son patrimoine culturel et de jouir d’un constat paisible avec la nature » (Mémorial des séances du Grand Conseil, 1974, p. 3244).</w:t>
      </w:r>
    </w:p>
    <w:p>
      <w:r>
        <w:t>Le rapport de la commission du Grand Conseil chargée d’examiner le projet de loi qui a donné lieu à l’adoption de la LPMNS du 4 juin 1976, précise que la commission « a voulu introduire la possibilité de protéger des ensembles bâtis, notamment dans le cadre des dispositions sur les sites. Les art. 32 à 35 ont été modifiés dans ce sens. Il semble, en effet, plus judicieux de traiter des ensembles bâtis sous le régime du plan de site que sous celui du classement » (Mémorial des séances du Grand Conseil, 1976, p. 1906).</w:t>
      </w:r>
    </w:p>
    <w:p>
      <w:r>
        <w:t>- 17/25 - A/1518/2020</w:t>
      </w:r>
    </w:p>
    <w:p>
      <w:r>
        <w:t>Le terme « notamment » utilisé à l'art. 35 al. 2 LPMNS indique que la notion de « site » doit être comprise largement. Le législateur a refusé de circonscrire la notion de site à celle correspondant au sens courant de ce terme, mais a étendu cette notion en y englobant d'autres objets à protéger, parmi lesquels peuvent être inclus les constructions de quartiers, le tissu urbain dans lequel elles s'inscrivent et la végétation qui les englobe (ATA/784/2016 du 20 septembre 2016 consid. 5b).</w:t>
      </w:r>
    </w:p>
    <w:p>
      <w:r>
        <w:t>Le Tribunal fédéral a relevé que dans la pratique genevoise, l'instrument du plan de site était large, et avait été utilisé pour la protection de périmètres ou d'objets assez divers et ne présentant pas nécessairement une homogénéité architecturale ou historique. Tel était le cas de la Rade de Genève, du centre de la ville de Carouge ainsi que des villages au caractère typique comme Hermance ou Dardagny. Il a même admis que des quartiers comme la Roseraie ou Beau-Séjour – contenant des éléments disparates, comme des établissements hospitaliers, des groupes de villas, des bâtiments de grand gabarit et des constructions isolées – constituaient un site (arrêt du Tribunal fédéral 1P.44/2004 du 12 octobre 2004 consid. 2.1.3, faisant suite à l’ATA/884/2003 du 2 décembre 2003 consid. 4).</w:t>
      </w:r>
    </w:p>
    <w:p>
      <w:r>
        <w:t>La légalité de l'adoption de plans de site poursuivant des objectifs de protection diversifiés a été confirmée tant par le Tribunal fédéral que par la chambre de céans (arrêt du Tribunal fédéral 1P.801/99 du 16 mars 2002 ; SJ 1995 p. 87 ; ATA/884/2003 du 2 décembre 2003). Le Tribunal fédéral a par exemple admis que la présence d’hôtels pouvait constituer une caractéristique du site de la Rade à protéger (arrêt du Tribunal fédéral 1P.28/1993 du 6 mai 1998 consid. 7 = SJ 1995 89-90). 7)</w:t>
      </w:r>
    </w:p>
    <w:p>
      <w:r>
        <w:t>D'après la jurisprudence, les restrictions de la propriété ordonnées pour protéger les monuments et les sites naturels ou bâtis sont en principe d'intérêt public (ATF 126 I 219 consid. 2c ; 119 Ia 305 consid. 4b et les arrêts cités ; arrêt du Tribunal fédéral 1P.28/2004 du 12 octobre 2004 consid. 2.2.1).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 Philip VOGEL, La protection des monuments historiques, thèse Lausanne 1982 p. 25) ; la jurisprudence a déjà pris acte de cette évolution (ATF 126 I 219 consid. 2e ; arrêt du Tribunal fédéral 1P.842/2005 du 30 novembre 2006). Alors qu'à l'origine, les mesures de protection visaient essentiellement les monuments historiques, à savoir des édifices publics, civils ou religieux, ainsi que des sites et objets à valeur</w:t>
      </w:r>
    </w:p>
    <w:p>
      <w:r>
        <w:t>- 18/25 - A/1518/2020 archéologique, elle s'est peu à peu étendue à des immeubles et objets plus modestes, que l'on a qualifié de patrimoine dit « mineur », caractéristique de la campagne genevoise, pour enfin s'ouvrir sur une prise de conscience de l'importance du patrimoine hérité du XIXème siècle et de la nécessité de sauvegarder un patrimoine plus récent, voire contemporain (ATA/643/2013 du 1er octobre 2013 ; ATA/105/2006 du 7 mars 2006 ; ATA/89/2000 du 8 février 2000).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 118 Ia 384 consid. 5a). 8)</w:t>
      </w:r>
    </w:p>
    <w:p>
      <w:r>
        <w:t>L’appréciation de la valeur d’un objet ou d’un site à protéger peut évoluer avec le temps et entraîner la modification de la protection. Le classement d’un bâtiment peut être modifié ou abrogé pour des motifs prépondérants d’intérêt public ou si l’immeuble qu’il protège ne présente plus d’intérêt (art. 18 al. 1 LPMNS). Le plan de site fait l’objet d’un réexamen périodique (art. 40 al. 10 LPMNS).</w:t>
      </w:r>
    </w:p>
    <w:p>
      <w:r>
        <w:t>Au sujet des monuments, la jurisprudence a retenu que l’art. 4 let. a LPMNS,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op. cit. p. 25) ; la jurisprudence a pris acte de cette évolution (ATF 126 I 219 consid. 2 ; arrêt du Tribunal fédéral 1C_300/2011 du</w:t>
      </w:r>
    </w:p>
    <w:p>
      <w:r>
        <w:rPr>
          <w:b/>
        </w:rPr>
        <w:t>E. 3</w:t>
      </w:r>
    </w:p>
    <w:p>
      <w:r>
        <w:t>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XIXème siècle et la nécessité de sauvegarder un patrimoine plus récent, voire contemporain (ATA/721/2012 du 30 décembre 2012 consid. 4b). Néanmoins, comme tout objet construit ne mérite pas une protection, il faut procéder à une appréciation d’ensemble, en fonction des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 118 Ia 384 consid. 5a ; arrêt du</w:t>
      </w:r>
    </w:p>
    <w:p>
      <w:r>
        <w:t>- 19/25 - A/1518/2020 Tribunal fédéral 1C_32/2012 du 7 septembre 2012 consid. 6.1 ; ATA/428/2010 du 22 juin 2010 et les références citées).</w:t>
      </w:r>
    </w:p>
    <w:p>
      <w:r>
        <w:t>La chambre de céans a pu juger à propos d’un monument au sens de la LPMNS qu’il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Toutefois,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(ATA/1214/2015 précité consid. 4b ; Philip VOGEL, op. cit., p. 24 et les références citées).</w:t>
      </w:r>
    </w:p>
    <w:p>
      <w:r>
        <w:t>Le Tribunal fédéral a admis l’assujettissement aux normes de protection d’un bâtiment jugé intéressant par une étude avalisée par la commission spécialisée car celui-ci présentait une valeur d'ensemble découlant de ses rapports, tant sur le plan spatial que sur celui de l'organisation de sa distribution intérieure avec les autres bâtiments situés dans le périmètre protégé (arrêt du Tribunal fédéral 1C_57/2008 du 19 mars 2009 consid. 4.2.2). 9)</w:t>
      </w:r>
    </w:p>
    <w:p>
      <w:r>
        <w:t>La CMNS est une commission consultative. Elle donne son préavis sur tous les objets qui, en raison de la matière, sont de son ressort (art. 47 al. 1 LPMNS). Elle peut proposer toutes mesures propres à concourir aux buts de la présente loi (art. 47 al. 2 LPMNS). Elle donne notamment son préavis sur les projets de plans de site établis par l’un des départements compétents (art. 5 al. 2 let. k du règlement d’exécution de la loi sur la protection des monuments, de la nature et des sites du 29 novembre 1976 - RPMNS - L 4 05.01) ainsi que sur tout projet de travaux concernant un immeuble situé dans le périmètre d'un plan de site (art. 5 al. 2 let. l RPMNS).</w:t>
      </w:r>
    </w:p>
    <w:p>
      <w:r>
        <w:t>L'autorité jouit, sous réserve d'excès ou d'abus de pouvoir, d'une certaine liberté d'appréciation dans les suites à donner dans un cas d'espèce, quel que soit le contenu du préavis, celui-ci n'ayant qu'un caractère consultatif (ATA/1024/2019 précité consid. 3d ; ATA/721/2012 du 30 décembre 2012 consid. 5).</w:t>
      </w:r>
    </w:p>
    <w:p>
      <w:r>
        <w:t>Chaque fois que l'autorité administrative suit les préavis des instances consultatives, l'autorité de recours observe une certaine retenue, en fonction de son aptitude à trancher le litige (ATA/1068/2016 du 20 décembre 2016 consid. 6b et les références citées ; Thierry TANQUEREL, Manuel de droit administratif, 2018, n. 508 p. 176 et la jurisprudence citée).</w:t>
      </w:r>
    </w:p>
    <w:p>
      <w:r>
        <w:t>Les autorités de recours se limitent le cas échéant à examiner si le département ne s'écarte pas sans motif prépondérant et dûment établi du préavis</w:t>
      </w:r>
    </w:p>
    <w:p>
      <w:r>
        <w:t>- 20/25 - A/1518/2020 de l'autorité technique consultative, composée de spécialistes capables d'émettre un jugement dépourvu de subjectivisme et de considérations étrangères aux buts de protection fixés par la loi (ATA/434/2018 du 8 mai 2018 consid. 6f ; ATA/1214/2015 du 10 novembre 2015 consid. 4f ; ATA/126/2013 du 26 février 2013 consid. 9b).</w:t>
      </w:r>
    </w:p>
    <w:p>
      <w:r>
        <w:t>La chambre de céans est en revanche libre d'exercer son propre pouvoir d'examen lorsqu'elle procède elle-même à des mesures d'instruction, à l'instar d'un transport sur place (ATA/1024/2019 du 18 juin 2019 consid. 4c et les références citées).</w:t>
      </w:r>
    </w:p>
    <w:p>
      <w:r>
        <w:t>Si la consultation de la CMNS est imposée par la loi, le préavis de cette commission a un poids certain dans l'appréciation qu'est amenée à effectuer l'autorité de recours (ATA/1214/2015 précité ; ATA/126/2013 précité). En outre, la CMNS se compose pour une large part de spécialistes, dont notamment des membres d'associations d'importance cantonale, poursuivant par pur idéal des buts de protection du patrimoine (art. 46 al. 2 LPMN). À ce titre, son préavis est important (ATA/1024/2019 précité consid. 4d ; ATA/1214/2015 précité). 10)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w:t>
      </w:r>
    </w:p>
    <w:p>
      <w:r>
        <w:t>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w:t>
      </w:r>
    </w:p>
    <w:p>
      <w:r>
        <w:t>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w:t>
      </w:r>
    </w:p>
    <w:p>
      <w:r>
        <w:t>- 21/25 - A/1518/2020</w:t>
      </w:r>
    </w:p>
    <w:p>
      <w:r>
        <w:t>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w:t>
      </w:r>
    </w:p>
    <w:p>
      <w:r>
        <w:t>Plus un bâtiment est digne d'être conservé, moins les exigences de la rentabilité doivent être prises en compte (ATF 118 Ia 384 consid. 5 ; ATA/1024/2019 précité consid. 2). 11) La recourante se plaint que les arrêtés violent l’art. 38 al. 2 let. a LPMNS. Le bâtiment n’est ni classé, ni inscrit à l’inventaire, ni objet d’une publication. Le DT n’a exposé que sommairement les motifs à l’appui d’une conservation. Le bâtiment ne présente pas d’intérêt suffisant.</w:t>
      </w:r>
    </w:p>
    <w:p>
      <w:r>
        <w:t>a. Le bâtiment n’avait en effet pas été jugé devoir être « maintenu » dans le précédent plan de site de 1993, faute sans doute de qualités suffisantes retenues à l’époque. Cela étant, un quart de siècle s’est écoulé depuis, et il est admis sur le principe que le regard porté sur le patrimoine et les critères de la protection doivent évoluer avec le temps. Cet élément doit ainsi être relativisé compte tenu de l’écoulement du temps.</w:t>
      </w:r>
    </w:p>
    <w:p>
      <w:r>
        <w:t>b. Le bâtiment n’a effectivement pas été classé, ni porté à l’inventaire, comme le fait observer la recourante. L’inclusion dans un plan de site constitue toutefois une mesure de protection distincte du et alternative au classement ou à l’inscription. La recourante n’établit ni ne soutient que ces mesures constitueraient un préalable à la protection par un plan de site.</w:t>
      </w:r>
    </w:p>
    <w:p>
      <w:r>
        <w:t>c. Le bâtiment n’a pas plus fait l’objet d’une publication. Comme le fait toutefois observer le DT, tel est le cas de nombreux bâtiments « maintenus » par le plan de site, et même de bâtiments aujourd’hui classés mais longtemps ignorés. L’absence de publication ou d’intérêt montré par les publications scientifiques, qui ne prétendent pas à l’exhaustivité et n’ont pas pour fonction de recenser, ne permet pas d’inférer que le bâtiment est dépourvu de valeur patrimoniale. Cela étant, la fiche de recensement peut être regardée comme une publication manifestant de l’intérêt pour le bâtiment et son intégration au site.</w:t>
      </w:r>
    </w:p>
    <w:p>
      <w:r>
        <w:t>d. Il a été retenu plus haut que l’arrêté attaqué avait exposé de manière circonstanciée les motifs à l’appui d’une protection du bâtiment par le plan de site. L’exposé des motifs à l’appui de la procédure de consultation permet de comprendre les critères retenus pas l’autorité. La recourante a montré, dans l’opposition, puis le recours qu’elle a produits, qu’elle avait bien compris les enjeux de la modification du plan de site.</w:t>
      </w:r>
    </w:p>
    <w:p>
      <w:r>
        <w:t>- 22/25 - A/1518/2020</w:t>
      </w:r>
    </w:p>
    <w:p>
      <w:r>
        <w:t>e. L’arrêté attaqué a attribué au bâtiment la valeur « intéressant » et justifié cette nouvelle appréciation par le fait que celui-ci constituait l’une des première opérations participant, après-guerre, à la requalification du quartier en zone commerciale, que sa conception avait fait l’objet d’une réflexion soignée dans le contexte urbain qui se redessinait, que l’expression architecturale et les volumes du bâtiment témoignaient de sa position de pionnier inaugurant dans le quartier une série d’immeubles modernes dotés d’une trame régulière.</w:t>
      </w:r>
    </w:p>
    <w:p>
      <w:r>
        <w:t>Le Conseil d’État s’est fondé sur le préavis favorable de la CMNS, laquelle avait approuvé une fiche de recensement qui détaillait toutes les qualités de l’immeuble.</w:t>
      </w:r>
    </w:p>
    <w:p>
      <w:r>
        <w:t>La fiche de recensement avait retenu que l’immeuble inaugurait dans le quartier la série d’immeubles administratifs modernes caractérisés par leur trame régulière, cette position de pionnier éclairait certains choix de Luc HERMÈS en termes volumétriques et d’expression architecturale : optant pour un toit en pente et un épiderme à deux couches superposées, il respectait la volonté des autorités de conserver son homogénéité formelle au quartier, tout en inscrivant plus directement l’œuvre dans une continuité historique avec son environnement immédiat, qui était alors encore largement composé de maisons anciennes. C’était particulièrement vrai en ce qui concernait l’immeuble remplacé, dont l’image, caractérisée par des chaînes d’angle, des cordons d’étage, une puissante corniche et une toiture à large lucarne (côté lac) semblait avoir été réinterprétée dans une clef moderne. Par ailleurs, il fallait relever qu’a posteriori, la décision s’était révélée judicieuse, puisque l’immeuble formait une heureuse transition, dans la silhouette urbaine, entre les immeubles d’avant-guerre et les édifices ajoutés par la suite, plus radicalement modernes.</w:t>
      </w:r>
    </w:p>
    <w:p>
      <w:r>
        <w:t>La motivation de l’arrêté querellé ne procède ainsi ni d’un excès ni d’un abus du pouvoir d’appréciation de l’autorité.</w:t>
      </w:r>
    </w:p>
    <w:p>
      <w:r>
        <w:t>f. La recourante invoque la transformation subie par l’immeuble dans les années 1980.</w:t>
      </w:r>
    </w:p>
    <w:p>
      <w:r>
        <w:t>Il y a lieu d’observer, avec le DT, que celle-ci n’a pas faite perdre à l’immeuble sa substance patrimoniale, puisque son gabarit comme la structure proéminente et le dessin en grille de la façade, si caractéristique, n’ont pas été altérés, et que le carrossage apparaît en outre réversible. La recourante ne saurait ainsi être suivie lorsqu’elle affirme que les rénovations et transformations ont changé de manière radicale et définitive l’apparence de l’immeuble. 12) La recourante se plaint d’une violation de la garantie de la propriété.</w:t>
      </w:r>
    </w:p>
    <w:p>
      <w:r>
        <w:t>a. Il n’est pas contesté que la mesure querellée est fondée sur une base légale.</w:t>
      </w:r>
    </w:p>
    <w:p>
      <w:r>
        <w:t>- 23/25 - A/1518/2020</w:t>
      </w:r>
    </w:p>
    <w:p>
      <w:r>
        <w:t>b. Les impératifs de protection du patrimoine sont par nature d’intérêt public. En l’espèce, il n’est pas douteux que la protection du patrimoine bâti d’après-guerre de style bancaire poursuit bien un intérêt public.</w:t>
      </w:r>
    </w:p>
    <w:p>
      <w:r>
        <w:t>La recourante évoque la nécessité que la qualité de l’immeuble puisse être reconnue par la population, ce qui constitue en réalité une condition développée à l’appui des classements d’objets. Cela étant, elle n’établit pas que la population serait insensible à la protection de la Rade comme telle, et dans son état actuel, pas plus qu’elle ne démontre que le mouvement de réévaluation conduit avec l’adoption du nouveau plan ne serait pas concomitant d’un nouveau regard porté plus généralement, et partant par la population dans son ensemble, sur des ouvrages d’architecture négligés un quart de siècle plus tôt.</w:t>
      </w:r>
    </w:p>
    <w:p>
      <w:r>
        <w:t>c. La recourante reproche enfin au maintien de l’immeuble d’engendrer pour elle des contraintes et des coûts insupportables, et d’être partant disproportionné.</w:t>
      </w:r>
    </w:p>
    <w:p>
      <w:r>
        <w:t>Le coût de la rénovation n’est pas de nature à faire obstacle, à lui seul et par principe, à la protection du patrimoine bâti, à peine de priver cette dernière de toute efficience. Cela étant, la recourante n’articule pas de chiffres, et le projet de rénovation qu’elle a déposé est en cours d’instruction. Dans ce cadre, de nombreuses possibilités, tant esthétiques que techniques pourront être envisagées avec le DT.</w:t>
      </w:r>
    </w:p>
    <w:p>
      <w:r>
        <w:t>La recourante se plaint encore que la conservation l’empêchera de s’adapter aux standards modernes en termes de hauteur de plafond. Elle n’établit toutefois pas que des bureaux rénovés dans un bâtiment protégé et jouissant d’une considération nouvelle ne trouveront pas preneur pour ce motif. Il est observé pour le surplus que de nombreux immeubles de bureaux de l’époque ont été protégés et ont conservé les mêmes dimensions.</w:t>
      </w:r>
    </w:p>
    <w:p>
      <w:r>
        <w:t>Suivant le même raisonnement, de nombreux immeubles issus d’une époque moins sensible aux impératifs de parcimonie énergétique ont pu être rénovés pour satisfaire au mieux aux nouveaux critères.</w:t>
      </w:r>
    </w:p>
    <w:p>
      <w:r>
        <w:t>Les griefs seront écartés. 13) La recourante se plaint enfin de la violation de la planification directrice.</w:t>
      </w:r>
    </w:p>
    <w:p>
      <w:r>
        <w:t>Le DT a observé avec raison que le maintien du bâtiment était conforme au PDCn 2030, qui prévoit une densification ponctuelle du secteur de l’immeuble et diverses mesures de protection du patrimoine, étant précisé que les mesures de protection prévues par le PDCN 2030 ne constituent pas un obstacle à des mesures additionnelles de protection.</w:t>
      </w:r>
    </w:p>
    <w:p>
      <w:r>
        <w:t>Entièrement mal fondé, le recours sera rejeté.</w:t>
      </w:r>
    </w:p>
    <w:p>
      <w:r>
        <w:t>- 24/25 - A/1518/2020 14) Vu l’issue du litige, un émolument de CHF 2’000.-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