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ATA/352/2024 vom 11. März 2024</w:t>
      </w:r>
    </w:p>
    <w:p>
      <w:r>
        <w:t>GE Cour de justice, 2024-03-11, FR</w:t>
      </w:r>
    </w:p>
    <w:p>
      <w:r>
        <w:rPr>
          <w:b/>
        </w:rPr>
        <w:t xml:space="preserve">Quelle: </w:t>
      </w:r>
      <w:r>
        <w:t>https://mcp.opencaselaw.ch/entscheid/ge_gerichte_ATA_352_2024</w:t>
      </w:r>
    </w:p>
    <w:p>
      <w:r>
        <w:t>FR: GE_GERICHTE ATA/352/2024 du 11 mars 2024</w:t>
      </w:r>
    </w:p>
    <w:p>
      <w:r>
        <w:t>IT: GE_GERICHTE ATA/352/2024 del 11 marzo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L'acte de recours contient, sous peine d'irrecevabilité, la désignation de la décision attaquée et les conclusions du recourant (art. 65 al. 1 LPA). Il contient également l'exposé des motifs ainsi que l'indication des moyens de preuve (art. 65 al. 2 1re phr. LPA).</w:t>
      </w:r>
    </w:p>
    <w:p>
      <w:r>
        <w:rPr>
          <w:b/>
        </w:rPr>
        <w:t>E. 1.2</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(ATA/20/2022 du 11 janvier 2022 consid. 2b et les arrêts cités).</w:t>
      </w:r>
    </w:p>
    <w:p>
      <w:r>
        <w:rPr>
          <w:b/>
        </w:rPr>
        <w:t>E. 1.3</w:t>
      </w:r>
    </w:p>
    <w:p>
      <w:r>
        <w:t>En l'espèce, le recourant n'a pas pris de conclusions formelles en annulation de la décision querellée. Cela étant, il a exposé les raisons pour lesquelles il estime qu’elle doit être modifiée, ce qui est suffisant pour comprendre qu'il est en désaccord avec cette décision et souhaite son annulation.</w:t>
      </w:r>
    </w:p>
    <w:p>
      <w:r>
        <w:rPr>
          <w:b/>
        </w:rPr>
        <w:t>E. 1.4</w:t>
      </w:r>
    </w:p>
    <w:p>
      <w:r>
        <w:t>Bien que la sanction ait été exécutée, le recourant conserve un intérêt actuel à l'examen de la légalité de celle-ci, dès lors qu'il pourrait être tenu compte de la sanction contestée en cas de nouveau problème disciplinaire ou de demande de libération conditionnelle (ATF 139 I 206 consid. 1.1 ; ATA/679/2023 du 26 juin 2023 consis. 2 ; ATA/498/2022 du 11 mai 2022 consid. 2 ; ATA/50/2022 du 18 janvier 2022 consid. 2). Le recours est donc recevable.</w:t>
      </w:r>
    </w:p>
    <w:p>
      <w:r>
        <w:rPr>
          <w:b/>
        </w:rPr>
        <w:t>E. 2</w:t>
      </w:r>
    </w:p>
    <w:p>
      <w:r>
        <w:t>L’objet du litige est la conformité au droit de la sanction du 10 décembre 2023.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t>- 4/7 - A/4242/2023</w:t>
      </w:r>
    </w:p>
    <w:p>
      <w:r>
        <w:rPr>
          <w:b/>
        </w:rPr>
        <w:t>E. 3</w:t>
      </w:r>
    </w:p>
    <w:p>
      <w:r>
        <w:t>Le recourant conteste le bien-fondé de la sanction de sept jours de suppression d’activités.</w:t>
      </w:r>
    </w:p>
    <w:p>
      <w:r>
        <w:rPr>
          <w:b/>
        </w:rPr>
        <w:t>E. 3.1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rPr>
          <w:b/>
        </w:rPr>
        <w:t>E. 3.2</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(ATA/917/2023 du 29 août 2023 consid. 4.2 ; ATA/43/2019 du 15 janvier 2019).</w:t>
      </w:r>
    </w:p>
    <w:p>
      <w:r>
        <w:rPr>
          <w:b/>
        </w:rPr>
        <w:t>E. 3.3</w:t>
      </w:r>
    </w:p>
    <w:p>
      <w:r>
        <w:t>En matière de sanctions disciplinaires, l'autorité dispose d'un large pouvoir d'appréciation ; le pouvoir d'examen de la chambre administrative se limite à l'excès ou l'abus du pouvoir d'appréciation (art. 61 al. 2 LPA ; ATA/52/2023 du 20 janvier 2023 consid. 7b ; ATA/1451/2017 du 31 octobre 2017 consid. 4c).</w:t>
      </w:r>
    </w:p>
    <w:p>
      <w:r>
        <w:rPr>
          <w:b/>
        </w:rPr>
        <w:t>E. 3.4</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(ATA/1198/2021 du 9 novembre 2021 consid. 3b). De jurisprudence constante, la chambre de céans accorde généralement une pleine valeur probante aux constatations figurant dans un rapport de police, établi par des agents assermentés (ATA/1005/2023 du 15 septembre 2023 consid. 3.2), sauf si des éléments permettent de s'en écarter. Dès lors que les agents de détention sont également des fonctionnaires assermentés (art. 7 de la loi sur l’organisation des établissements et le statut du personnel pénitentiaire du 3 novembre 2016 (LOPP - F 1 50), le même raisonnement peut être appliqué aux rapports établis par ces derniers.</w:t>
      </w:r>
    </w:p>
    <w:p>
      <w:r>
        <w:rPr>
          <w:b/>
        </w:rPr>
        <w:t>E. 3.5</w:t>
      </w:r>
    </w:p>
    <w:p>
      <w:r>
        <w:t>Aux termes de l’art. 46 du règlement relatif aux établissements ouverts ou fermés d’exécution des peines et des sanctions disciplinaires du 25 juillet 2007 (REPSD - F 1 50.08), applicable à la Brenaz (art. 1 let. c REPSD), si une personne détenue enfreint le REPSD ou contrevient au plan d'exécution de la sanction pénale,</w:t>
      </w:r>
    </w:p>
    <w:p>
      <w:r>
        <w:t>- 5/7 - A/4242/2023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w:t>
      </w:r>
    </w:p>
    <w:p>
      <w:r>
        <w:rPr>
          <w:b/>
        </w:rPr>
        <w:t>E. 3.6</w:t>
      </w:r>
    </w:p>
    <w:p>
      <w:r>
        <w:t>Les personnes détenues ont l'obligation de respecter les dispositions du REPSD, les instructions du directeur général de l'office cantonal de la détention, ainsi que les ordres du directeur de l'établissement et du personnel pénitentiaire (art. 42 REPSD). La personne détenue doit observer une attitude correcte à l'égard du personnel, des autres personnes détenues et des tiers (art. 43 REPSD). Aux termes de l’art. 44 let. a REPSD, il est notamment interdit de détenir ou de consommer de l'alcool.</w:t>
      </w:r>
    </w:p>
    <w:p>
      <w:r>
        <w:rPr>
          <w:b/>
        </w:rPr>
        <w:t>E. 3.7</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4</w:t>
      </w:r>
    </w:p>
    <w:p>
      <w:r>
        <w:t>En l’espèce, le recourant ne remet pas en cause que les trois bouteilles retrouvées dans sa cellule le 10 décembre 2023 contenant de l’alcool. Il soutient que du sirop de citron, tantôt de la limonade, fabriqués durant l’été, auraient fermenté au point de devenir alcoolisés. Il a également affirmé que les trois bouteilles en question auraient été « oubliées » dans sa cellule depuis l’été. Il ne saurait être suivi sur cette seconde explication, puisque lors de la fouille de sa cellule le 4 novembre 2023, les trois bouteilles en question ne s’y trouvaient pas. Son autre explication n’est pas plus crédible, le recourant ne détaillant au demeurant pas par quel processus totalement indépendant de sa volonté le sirop ou la limonade seraient devenus de l’alcool. Il sera par ailleurs rappelé qu’il a été sanctionné à une dizaine de reprises pour détention ou consommation de stupéfiants. C’est dès lors à juste titre que l’intimé a retenu que le recourant détenait de l’alcool dans sa cellule, en violation de l’art. 44 let. a REPSD. Dans tous les cas, il appartenait au recourant de savoir ce qui se trouvait dans sa cellule et de s’assurer qu’il ne détenait aucun objet interdit pas le règlement. Le principe d’une sanction est acquis. Le recourant ne conteste pas le type ou la quotité de la sanction. La suppression de certaines activités (formations, sports, loisirs et repas en commun) durant sept jours est, dans tous les cas, proportionnée au vu du comportement du recourant qui ne</w:t>
      </w:r>
    </w:p>
    <w:p>
      <w:r>
        <w:t>- 6/7 - A/4242/2023 peut être toléré en régime carcéral. Le maximum autorisé de ce type de sanction étant de trois mois, sept jours semblent appropriés pour avoir fabriqué et détenu de l’alcool. Il convient en outre de prendre en compte ses très nombreux antécédents disciplinaires, soit pas moins de 20 sanctions entre avril 2022 et décembre 2023. La sanction contestée était ainsi apte à atteindre le but d’intérêt public au respect de l’ordre et de la sécurité au sein de l’établissement, nécessaire pour ce faire et proportionnée au sens étroit, l’intérêt public au bon fonctionnement de l’établissement au respect de la loi (art. 81 du Code pénal suisse du 21 décembre 1937 - CP - RS 311.0) primant l’intérêt privé du recourant à pouvoir bénéficier de formations, sports, loisirs et repas en commun pendant une semaine. Entièrement mal fondé, le recours sera rejeté, dans la mesure de sa recevabilité.</w:t>
      </w:r>
    </w:p>
    <w:p>
      <w:r>
        <w:rPr>
          <w:b/>
        </w:rPr>
        <w:t>E. 5</w:t>
      </w:r>
    </w:p>
    <w:p>
      <w:r>
        <w:t>La procédure est gratuite (art. 12 du règlement sur les frais, émoluments et indemnités en procédure administrative du 30 juillet 1986 - RFPA - E 5 10.03). Vu l'issue du litige, il n'y a pas lieu d’allouer une indemnité de procédure au recourant qui au demeurant s’est défendu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