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ATA/352/2008 vom 24. Juni 2008</w:t>
      </w:r>
    </w:p>
    <w:p>
      <w:r>
        <w:t>GE Cour de justice, 2008-06-24, FR</w:t>
      </w:r>
    </w:p>
    <w:p>
      <w:r>
        <w:rPr>
          <w:b/>
        </w:rPr>
        <w:t xml:space="preserve">Quelle: </w:t>
      </w:r>
      <w:r>
        <w:t>https://mcp.opencaselaw.ch/entscheid/ge_gerichte_ATA_352_2008</w:t>
      </w:r>
    </w:p>
    <w:p>
      <w:r>
        <w:t>FR: GE_GERICHTE ATA/352/2008 du 24 juin 2008</w:t>
      </w:r>
    </w:p>
    <w:p>
      <w:r>
        <w:t>IT: GE_GERICHTE ATA/352/2008 del 24 giugno 2008</w:t>
      </w:r>
    </w:p>
    <w:p>
      <w:pPr>
        <w:pStyle w:val="Heading2"/>
      </w:pPr>
      <w:r>
        <w:t>Regeste</w:t>
      </w:r>
    </w:p>
    <w:p>
      <w:r>
        <w:t>Résumé: La mesure visant la restitution du trop-perçu des loyers doit être considérée comme une forme de remise en état. Partant, elle peut être assortie d'une amende. Compte tenu de l'attitude du recourant, lequel a par le passé déjà fait l'objet de treize amendes, la faute doit être considérée comme grave et justifiant le prononcé d'une amende de CHF 20'000.- à son encontre.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LPA).</w:t>
      </w:r>
    </w:p>
    <w:p>
      <w:r>
        <w:rPr>
          <w:b/>
        </w:rPr>
        <w:t>E. 2</w:t>
      </w:r>
    </w:p>
    <w:p>
      <w:r>
        <w:t>Le litige ne porte que sur l’amende de CHF 20'000.- infligée par le département dans sa décision du 25 septembre 2007 et confirmée par la commission dans sa décision du 23 janvier 2008.</w:t>
      </w:r>
    </w:p>
    <w:p>
      <w:r>
        <w:rPr>
          <w:b/>
        </w:rPr>
        <w:t>E. 3</w:t>
      </w:r>
    </w:p>
    <w:p>
      <w:r>
        <w:t>L’amende querellée sanctionne le non-respect par le recourant des conditions dont était assortie la décision du 16 janvier 2004, définitive et exécutoire, alors que l’amende infligée le 16 janvier 2004 avait pour fondement le fait pour le recourant d’avoir entrepris des travaux sans autorisation.</w:t>
      </w:r>
    </w:p>
    <w:p>
      <w:r>
        <w:t>Les deux amendes administratives ont donc deux causes distinctes, de sorte que la question du cumul invoquée par le recourant est hors propos.</w:t>
      </w:r>
    </w:p>
    <w:p>
      <w:r>
        <w:rPr>
          <w:b/>
        </w:rPr>
        <w:t>E. 4</w:t>
      </w:r>
    </w:p>
    <w:p>
      <w:r>
        <w:t>Selon le recourant, le département ne peut pas assortir une décision d’exécution d’une amende administrative, mais seulement utiliser la voie de l’article 292 CP.</w:t>
      </w:r>
    </w:p>
    <w:p>
      <w:r>
        <w:t>Le Tribunal administratif a plusieurs fois jugé qu’une mesure visant la restitution du trop-perçu des loyers est une forme de remise en état, au sens de l’article 129 lettre e LCI (ATA/567/2005 du 16 août 2005 et les références citées). Or, un ordre en force du département peut être assorti d’une amende au sens de l’article 137 alinéa 1 lettre c LCI, ce que la jurisprudence a également confirmé (ATA/494/2006 du 19 septembre 2006).</w:t>
      </w:r>
    </w:p>
    <w:p>
      <w:r>
        <w:t>Tel est le cas en l’espèce, où l’ordre du département, concrétisé dans l’autorisation de construire du 16 janvier 2004, est en force. Celui-ci n’ayant pas été exécuté, c’est à bon escient que le département a prononcé une amende administrative à l’encontre du recourant.</w:t>
      </w:r>
    </w:p>
    <w:p>
      <w:r>
        <w:t>Le grief soulevé est ainsi infondé.</w:t>
      </w:r>
    </w:p>
    <w:p>
      <w:r>
        <w:rPr>
          <w:b/>
        </w:rPr>
        <w:t>E. 5</w:t>
      </w:r>
    </w:p>
    <w:p>
      <w:r>
        <w:t>A teneur de l'article 137 alinéa 1 lettre c LCI, est passible d'une amende administrative de CHF 100.- à CHF 60 000.- tout contrevenant aux ordres donnés par le département dans les limites de la présente loi et des règlements et arrêtés édictés en vertu de celle-ci. Il est tenu compte, dans la fixation du montant de l'amende, du degré de gravité de l'infraction, la violation des prescriptions</w:t>
      </w:r>
    </w:p>
    <w:p>
      <w:r>
        <w:t>- 6/7 - A/952/2008 susmentionnées par cupidité et les cas de récidive constituant notamment des circonstances aggravantes (art. 137 al. 3 LCI).</w:t>
      </w:r>
    </w:p>
    <w:p>
      <w:r>
        <w:t>En l'espèce, le recourant s'obstine à ne pas vouloir respecter les conditions 7 et 8 de l’autorisation du 16 janvier 2004. Il cherche tous les moyens pour éviter de devoir respecter les conditions des autorisations de construire qu’il sollicite en « saucissonnant » les travaux. En l’occurrence, il explique qu’il n’a pas réalisé tous les travaux objet de l’autorisation de construire du 16 janvier 2004 car il avait un autre projet en vue. Ce faisant, le recourant se soustrait volontairement aux obligations que lui impose l’autorisation du 16 janvier 2004.</w:t>
      </w:r>
    </w:p>
    <w:p>
      <w:r>
        <w:t>Dans un arrêt du 8 avril 2008, le Tribunal administratif a relevé que depuis 1998, le recourant avait fait l’objet de très nombreuses amendes administratives (ATA/164/2008). A ce jour, ce sont treize amendes qui ont été confirmées, totalement ou partiellement, par le tribunal de céans. Le peu de cas que fait le recourant des décisions judiciaires est notoire. Son attitude est constitutive de faute grave, ce qui justifie le montant de CHF 20'000.-, qui respecte par ailleurs, le principe de la proportionnalité. Au demeurant, le recourant n’invoque pas de difficultés financières telles qu’elles rendraient le paiement de cette amende difficile.</w:t>
      </w:r>
    </w:p>
    <w:p>
      <w:r>
        <w:rPr>
          <w:b/>
        </w:rPr>
        <w:t>E. 6</w:t>
      </w:r>
    </w:p>
    <w:p>
      <w:r>
        <w:t>Mal fondé, le recours sera rejeté. Un émolument de CHF 1’500.- sera mis à la charge du recourant (art. 87 LPA), qui succombe.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