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ATA/351/2011 vom 31. Mai 2011</w:t>
      </w:r>
    </w:p>
    <w:p>
      <w:r>
        <w:t>GE Cour de justice, 2011-05-31, FR</w:t>
      </w:r>
    </w:p>
    <w:p>
      <w:r>
        <w:rPr>
          <w:b/>
        </w:rPr>
        <w:t xml:space="preserve">Quelle: </w:t>
      </w:r>
      <w:r>
        <w:t>https://mcp.opencaselaw.ch/entscheid/ge_gerichte_ATA_351_2011</w:t>
      </w:r>
    </w:p>
    <w:p>
      <w:r>
        <w:t>FR: GE_GERICHTE ATA/351/2011 du 31 mai 2011</w:t>
      </w:r>
    </w:p>
    <w:p>
      <w:r>
        <w:t>IT: GE_GERICHTE ATA/351/2011 del 31 maggio 2011</w:t>
      </w:r>
    </w:p>
    <w:p>
      <w:pPr>
        <w:pStyle w:val="Heading2"/>
      </w:pPr>
      <w:r>
        <w:t>Regeste</w:t>
      </w:r>
    </w:p>
    <w:p>
      <w:r>
        <w:t>Résumé: Un pli recommandé est réputé avoir été notifié le dernier jour du délai de garde, quand bien même il n'a pas été retiré par son destinataire. C'est dès cette date que le délai de recours commence à courir. Lorsque le recours est expédié depuis l'étranger (France) par voie postale au lieu d'être remis à une représentation diplomatique ou consulaire suisse, c'est la date de réception par la juridiction de recours qui doit être prise en considération.</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aLOJ ; art. 63 al. 1 let. a de la loi sur la procédure administrative du 12 septembre 1985 - LPA - E 5 10, dans sa teneur au 31 décembre 2010).</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w:t>
      </w:r>
    </w:p>
    <w:p>
      <w:r>
        <w:t>- 4/5 - A/3454/2007 prescrit est forclos et la décision en cause acquiert force obligatoire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t>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4</w:t>
      </w:r>
    </w:p>
    <w:p>
      <w:r>
        <w:t>p. 51 ; 130 III 396 consid. 1.2.3 p. 399 ; 127 I 31 consid. 2a/aa p. 34 ; Arrêts du Tribunal fédéral 8C_245/2009 du 5 mai 2009 ; 2C_119/2008 du 25 février 2008 ; ATA/255/2009 du 19 mai 2009 consid. 2). La prolongation du délai de garde par la poste ne modifie pas cette fiction (ATA/257/2011 du 19 avril 2011 ; ATA/391/2010 du 8 juin 2010 et les références citées).</w:t>
      </w:r>
    </w:p>
    <w:p>
      <w:r>
        <w:rPr>
          <w:b/>
        </w:rPr>
        <w:t>E. 5</w:t>
      </w:r>
    </w:p>
    <w:p>
      <w:r>
        <w:t>En l'espèce, le pli expédié par la commission le 7 août 2009 est réputé avoir été notifié le dernier jour du délai de garde, soit le lundi 17 août 2009 quand bien même il n'a pas été retiré par le contribuable. Le délai de recours de trente jours venait ainsi à expiration le mercredi 16 septembre 2009 à minuit. Or, le recours a été expédié de France le 17 septembre 2009, soit au-delà du délai légal. De plus, en application des principes rappelés ci-dessus, c'est en l'espèce la date de réception par la juridiction de recours qui doit être prise en considération, soit le 21 septembre 2009.</w:t>
      </w:r>
    </w:p>
    <w:p>
      <w:r>
        <w:rPr>
          <w:b/>
        </w:rPr>
        <w:t>E. 6</w:t>
      </w:r>
    </w:p>
    <w:p>
      <w:r>
        <w:t>Il en résulte que le recours interjeté auprès du Tribunal administratif est tardif et partant, irrecevable.</w:t>
      </w:r>
    </w:p>
    <w:p>
      <w:r>
        <w:rPr>
          <w:b/>
        </w:rPr>
        <w:t>E. 7</w:t>
      </w:r>
    </w:p>
    <w:p>
      <w:r>
        <w:t>Vu l'issue du litige, un émolument de CHF 500.- sera mis à la charge du recourant (art. 87 LPA).</w:t>
      </w:r>
    </w:p>
    <w:p>
      <w:r>
        <w:t>- 5/5 - A/3454/2007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