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ATA/350/2018 vom 17. April 2018</w:t>
      </w:r>
    </w:p>
    <w:p>
      <w:r>
        <w:t>GE Cour de justice, 2018-04-17, FR</w:t>
      </w:r>
    </w:p>
    <w:p>
      <w:r>
        <w:rPr>
          <w:b/>
        </w:rPr>
        <w:t xml:space="preserve">Quelle: </w:t>
      </w:r>
      <w:r>
        <w:t>https://mcp.opencaselaw.ch/entscheid/ge_gerichte_ATA_350_2018</w:t>
      </w:r>
    </w:p>
    <w:p>
      <w:r>
        <w:t>FR: GE_GERICHTE ATA/350/2018 du 17 avril 2018</w:t>
      </w:r>
    </w:p>
    <w:p>
      <w:r>
        <w:t>IT: GE_GERICHTE ATA/350/2018 del 17 aprile 2018</w:t>
      </w:r>
    </w:p>
    <w:p>
      <w:pPr>
        <w:pStyle w:val="Heading2"/>
      </w:pPr>
      <w:r>
        <w:t>Erwägungen</w:t>
      </w:r>
    </w:p>
    <w:p>
      <w:r>
        <w:rPr>
          <w:b/>
        </w:rPr>
        <w:t>E. 12</w:t>
      </w:r>
    </w:p>
    <w:p>
      <w:r>
        <w:t>septembre 1985 - LPA - E 5 10). 2)</w:t>
      </w:r>
    </w:p>
    <w:p>
      <w:r>
        <w:t>Le litige porte sur le calcul du nombre de pièces de l’appartement faisant l’objet de l’autorisation de construire APA 46'990 du 10 février 2017. 3)</w:t>
      </w:r>
    </w:p>
    <w:p>
      <w:r>
        <w:t>Dans un premier grief, la recourante se plaint d’une constatation incomplète, voire inexacte des faits. Selon elle, l’arrêté du Conseil d’État du 31 mai 1968 ainsi que le plan financier auquel il se réfère mentionne non seulement le nombre de pièces total de l’immeuble ainsi que le rendement locatif maximum admissible, mais valide aussi le nombre de pièces et le loyer de chaque appartement pris individuellement.</w:t>
      </w:r>
    </w:p>
    <w:p>
      <w:r>
        <w:t>a. L’arrêté précité du 31 mai 1968 stipule que la SI Parc-Voirons est autorisée à percevoir des locataires de l’immeuble concerné les loyers « conformément au plan financier du 11 juillet 1963 et à l’état locatif du 9 avril 1968 visé plus haut ». Dans les considérants qui précèdent, il est retenu un prix de revient total de l’immeuble de CHF 3'041'325.- selon le plan financier du 11 juillet 1963. Le rendement locatif annuel total mentionné est de CHF 207'744.- « soit pour cent quarante-trois pièces, dont nonante et une à CHF 1'566.15 l’an et cinquante-deux à CHF 1'032.75 l’an ainsi que pour un certain nombre de box et d’emplacements de parking ». Était joint un document de huit pages comprenant outre des plans, la description et des données générales relatives à l’immeuble tel que le cube de construction (12’435 m3), un plan financier sur une page et un état locatif sur deux pages. Ce dernier détaille les appartements se trouvant sur chaque étage, leur nombre de pièces, le nom des locataires, l’échéance des baux et le loyer y relatif. Il ressort dès lors de l’état locatif que l’appartement concerné de quatre pièces et demie au premier étage avait, à l’époque, pour locataire une personne nommée « HOSPITAL », dont le bail arrivait à échéance le 28 février 1971 pour un loyer de CHF 5'040.-. En conséquence, l’arrêté du 31 mai 1968 valide le nombre de pièces et le loyer de chaque appartement pris individuellement.</w:t>
      </w:r>
    </w:p>
    <w:p>
      <w:r>
        <w:t>b. Le département oppose le fait que le dispositif de l’arrêté dont se prévaut la recourante ne fait que se référer à l’état locatif produit sans pour autant valider ou confirmer l’exactitude du contenu de celui-ci.</w:t>
      </w:r>
    </w:p>
    <w:p>
      <w:r>
        <w:t>- 6/11 - A/1134/2017</w:t>
      </w:r>
    </w:p>
    <w:p>
      <w:r>
        <w:t>c. L’arrêté reprenant le nombre de cent quarante-trois pièces détaillées dans l’état locatif, cet argument ne résiste pas à l’examen. Le grief de constatation inexacte des faits est fondé. 4)</w:t>
      </w:r>
    </w:p>
    <w:p>
      <w:r>
        <w:t>Dans un second grief, la recourante se plaint d’une violation de son droit d’être entendue en raison d’une insuffisance de motivation du jugement, lequel se limiterait à renvoyer à un autre jugement du TAPI.</w:t>
      </w:r>
    </w:p>
    <w:p>
      <w:r>
        <w:t>a.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b. En l’espèce, la recourante a pu se rendre compte de la portée du jugement à son égard et recourir en connaissance de cause. Même à considérer qu’il y ait eu une violation de son droit d’être entendue, celle-ci serait réparée compte tenu des développements qui suivent, la chambre de céans disposant du même pouvoir d'examen que l'autorité inférieure (ATF 138 I 97 consid. 4.1.6.1 ; 137 I 195 consid. 2.3.2.). 5) a. L’art. 1 RGL définit la façon de calculer le nombre de pièces des logements soumis à la LGL, sauf des logements d’utilité publique.</w:t>
      </w:r>
    </w:p>
    <w:p>
      <w:r>
        <w:t>b. Le RGL est applicable aux immeubles admis au bénéfice de la loi du 28 juin 1974 ainsi que l’une des lois abrogées en application de l’article 33 de ladite loi, sous réserve des dispositions particulières fixées par le Conseil d’État pour chacun de ces immeubles (art. 88 RGL).</w:t>
      </w:r>
    </w:p>
    <w:p>
      <w:r>
        <w:t>c. En l’espèce, les parties s’accordent sur le fait que le RGL est applicable.</w:t>
      </w:r>
    </w:p>
    <w:p>
      <w:r>
        <w:t>Se pose la question de savoir si, comme le soutient la recourante, les éléments qui figurent dans l’arrêté du Conseil d’État, dont elle considère que le nombre de pièces pour l’appartement concerné fait partie, bénéficie d’une garantie de stabilité particulière et prévalent sur les éventuelles dispositions divergentes du RGL. 6)</w:t>
      </w:r>
    </w:p>
    <w:p>
      <w:r>
        <w:t>La recourante se prévaut d’un contrat de droit administratif.</w:t>
      </w:r>
    </w:p>
    <w:p>
      <w:r>
        <w:t>a. Le contrat de droit administratif est un acte régi par le droit public qui résulte de la concordance de deux ou plusieurs manifestations de volonté concrétisant la loi dans un cas d’espèce, ayant pour objet l’exécution d’une tâche</w:t>
      </w:r>
    </w:p>
    <w:p>
      <w:r>
        <w:t>- 7/11 - A/1134/2017 publique et visant à produire des effets bilatéraux obligatoires (Thierry TANQUEREL, Manuel de droit administratif, 2011, p. 331 n. 970).</w:t>
      </w:r>
    </w:p>
    <w:p>
      <w:r>
        <w:t>b. En l’espèce, la question de la qualification du document souffrira de rester indécise dès lors qu’en tous les cas, le contrat serait échu depuis 1981. Le document date d’il y a cinquante ans et prévoyait des modalités pour quinze ans.</w:t>
      </w:r>
    </w:p>
    <w:p>
      <w:r>
        <w:t>Par ailleurs, le contrat n’est pas pertinent pour le présent litige. Celui-ci porte sur la fixation du loyer d’un appartement après rénovation alors que le contrat allégué concernait les loyers que la société immobilière était autorisée à percevoir de 1966 à 1981 suite à la construction de l’immeuble, et les exemptions fiscales consenties à ladite société pour la même période.</w:t>
      </w:r>
    </w:p>
    <w:p>
      <w:r>
        <w:t>La recourante ne peut se prévaloir d’un contrat de droit administratif. 7)</w:t>
      </w:r>
    </w:p>
    <w:p>
      <w:r>
        <w:t>La recourante se prévaut de la dérogation de l’art. 88 RGL selon laquelle l’immeuble bénéficierait de dispositions particulières du Conseil d’État, à savoir que le nombre de pièces, tel que validé et arrêté par le Conseil d’État en 1968 serait expressément réservé par le RGL et devrait prévaloir sur la LGL et son règlement d’application.</w:t>
      </w:r>
    </w:p>
    <w:p>
      <w:r>
        <w:t>Conformément au considérant qui précède, il ne peut être retenu que la mention « les loyers que la SI Parc-Voirons est autorisée à percevoir des locataires de l’immeuble sis route de Meyrin n° 12 B sont limités, pour une durée de quinze ans dès le 1er juillet 1966, conformément au plan financier du 11 juillet 1963 et à l’état locatif du 9 avril 1968, visés ci-dessus » réponde à la définition de « dispositions particulières fixées par le Conseil d’État pour [l’]immeuble ». En tout état, et même à considérer que tel serait le cas, les « dispositions particulières fixées par le Conseil d’État » l’étaient pour quinze ans, soit jusqu’au 30 juin 1981.</w:t>
      </w:r>
    </w:p>
    <w:p>
      <w:r>
        <w:t>La recourante ne peut se prévaloir de la dérogation de l’art. 88 RGL. 8)</w:t>
      </w:r>
    </w:p>
    <w:p>
      <w:r>
        <w:t>La recourante invoque une violation de ses droits acquis.</w:t>
      </w:r>
    </w:p>
    <w:p>
      <w:r>
        <w:t>a.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(ATF 129 II 361 consid. 7.1) et, enfin, que la loi n’ait pas subi de changement depuis le moment où la promesse a été faite (ATF 141 V 530 consid. 6.2 ; ATA/17/2017 précité). Le principe de la bonne foi, exprimé aux art. 5 al. 3 et 9 de la Constitution fédérale de la Confédération suisse</w:t>
      </w:r>
    </w:p>
    <w:p>
      <w:r>
        <w:t>- 8/11 - A/1134/2017 du 18 avril 1999 - Cst. - RS 101), n’empêche pas ainsi les changements de loi ; il lie également le législateur, en particulier s’il a promis dans la loi que celle-ci ne serait pas modifiée ou serait maintenue telle quelle pendant un certain temps, créant ainsi un droit acquis (ATF 128 II 112 consid. 10b/aa ; ATA/509/2006 du 19 septembre 2006).</w:t>
      </w:r>
    </w:p>
    <w:p>
      <w:r>
        <w:t>À cet égard, les droits acquis ne peuvent se fonder que sur une loi, un acte administratif ou un contrat de droit administratif ; l’autorité doit avoir voulu exclure toute suppression ou restriction ultérieure du droit par une modification législative (ATA/509/2016 précité ; SJ 1999 I 129, p. 141).</w:t>
      </w:r>
    </w:p>
    <w:p>
      <w:r>
        <w:t>b. En l’espèce, il ne ressort pas du dossier que l’État ait donné des garanties à la recourante que le décompte du nombre de pièces ne serait jamais modifié. La recourante ne le prétend d’ailleurs pas.</w:t>
      </w:r>
    </w:p>
    <w:p>
      <w:r>
        <w:t>En particulier, force est de constater que la loi a changé depuis l'édification du bâtiment concerné et que la recourante n'a jamais reçu l'assurance que l'appartement concerné serait toujours considéré comme un quatre pièces et demi (ATA/673/2017 précité consid. 9b). Celle-ci ne peut ainsi pas faire valoir de droits acquis, les conditions précitées, nécessaires et cumulatives, n'étant pas remplies.</w:t>
      </w:r>
    </w:p>
    <w:p>
      <w:r>
        <w:t>L’argument de la recourante selon lequel « il est dans le cours ordinaire des choses qu’un appartement dont le Conseil d’État a constaté qu’il dispose de 4,5 pièces, soit considéré pendant toute son existence comme un 4,5 pièces, en tous les cas dans la mesure où la disposition intérieure de pièces n’est pas modifiée » fait fi des principes susmentionnés et ne peut être suivi. L’argument financier n’est pas de nature à modifier les conclusions qui précèdent, étant rappelé que, selon l’autorisation querellée, le loyer n’a pas à être diminué et peut demeurer inchangé.</w:t>
      </w:r>
    </w:p>
    <w:p>
      <w:r>
        <w:t>Le grief est infondé. 9) a. En règle générale, s'appliquent aux faits dont les conséquences juridiques sont en cause, les normes en vigueur au moment où ces faits se produisent (ATA/1097/2017 du 18 juillet 2017 ; ATA/412/2017 du 11 avril 2017 consid. 6 et les références citées ; Pierre MOOR/Alexandre FLÜCKIGER/Vincent MARTENET, Droit administratif, 3ème éd., 2012, vol. 1, p. 184).</w:t>
      </w:r>
    </w:p>
    <w:p>
      <w:r>
        <w:t>Liée aux principes de sécurité du droit et de prévisibilité, l'interdiction de la rétroactivité des lois résulte du droit à l'égalité de l'art. 8 Cst., ainsi que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w:t>
      </w:r>
    </w:p>
    <w:p>
      <w:r>
        <w:t>- 9/11 - A/1134/2017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w:t>
      </w:r>
    </w:p>
    <w:p>
      <w:r>
        <w:t>b. De jurisprudence déjà ancienne et constante, appliquée également dans des cas d’immeubles anciens (ATA/645/2012 du 25 septembre 2012 consid. 7, concernant un immeuble construit en 1964-1965 ; ATA/567/2005 du 16 août 2005 consid. 21, relatif à un immeuble datant de 1962), la chambre de céans a toujours considéré qu’il était possible d’appliquer l’art. 1 RGL, par analogie, au calcul du nombre de pièces selon la LDTR, les buts poursuivis par la LDTR et la LGL relevant d’un même souci de préserver l’habitat et de lutter contre la pénurie de logements à Genève (ATA/334/2014 du 13 mai 2014 consid. 7c ; ATA/641/2013 du 1er octobre 2013 consid. 5c ; ATA/826/2012 du 11 décembre 2012 consid. 4c ; ATA/322/2008 du 17 juin 2008 consid. 3).</w:t>
      </w:r>
    </w:p>
    <w:p>
      <w:r>
        <w:t>Cette jurisprudence a été confirmée par le Tribunal fédéral (arrêt du Tribunal fédéral 1C_323/2014 du 10 octobre 2014 consid. 7.2) et a encore été appliquée dans des arrêts récents de la chambre de céans dans des cas d’immeubles construits respectivement en 1898 (ATA/673/2017 du 20 juin 2017 consid. 3 et 4), en 1974 (ATA/1097/2017 du 18 juillet 2017 consid. 3) et en 1976 (ATA/1440/2017 du 31 octobre 2017).</w:t>
      </w:r>
    </w:p>
    <w:p>
      <w:r>
        <w:t>Le fait que l’immeuble ait été construit dans les années 1970-1980, soit avant l’entrée en vigueur tant de la LDTR que du RGL, n’empêche aucunement l’application analogique de l’art. 1 RGL, conformément à la jurisprudence susmentionnée. En effet, il ne s'agit pas d'appliquer rétroactivement la LGL et le RGL, mais d'utiliser, par analogie, les règles prévues par ces textes pour fixer le nombre de pièces du logement concerné. Le résultat obtenu ne saurait dès lors violer d'une quelconque manière le principe susrappelé (ATA/1097/2017 précité consid. 6b). 10) Finalement, comme l’a déjà retenu la chambre de céans, il ne peut non plus être considéré que le DALE a procédé à un changement de pratique administrative inadmissible.</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w:t>
      </w:r>
    </w:p>
    <w:p>
      <w:r>
        <w:t>- 10/11 - A/1134/2017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t>b. En l’espèce, le DALE n’a pas procédé à un changement de pratique. Ainsi que rappelé ci-dessus, les règles de calcul du nombre de pièces prévues par la LGL et le RGL sont régulièrement utilisées dans le cadre de la LDTR à tous le moins depuis dix ans (ATA/567/2005 du 16 août 2005). 11) Pour le surplus, le calcul des surfaces, tel qu’effectué par l’intimé pour parvenir aux quatre pièces n’est pas contesté.</w:t>
      </w:r>
    </w:p>
    <w:p>
      <w:r>
        <w:t>Tant l’autorité intimée que le TAPI ont par conséquent appliqué à bon droit les dispositions susmentionnées en se référant à la jurisprudence pertinente. 12) En conséquence, le fait établi de façon inexacte par le TAPI, à savoir que l’arrêté du 31 mai 1968 validait le nombre de pièces et le loyer de chaque appartement pris individuellement, est, compte tenu de ce qui précède, sans incidence sur l’issue du présent litige.</w:t>
      </w:r>
    </w:p>
    <w:p>
      <w:r>
        <w:t>Le recours sera rejeté.</w:t>
      </w:r>
    </w:p>
    <w:p>
      <w:r>
        <w:t>Vu l’issue du litige, un émolument de CHF 800.-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