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ATA/350/2013 vom 4. Juni 2013</w:t>
      </w:r>
    </w:p>
    <w:p>
      <w:r>
        <w:t>GE Cour de justice, 2013-06-04, FR</w:t>
      </w:r>
    </w:p>
    <w:p>
      <w:r>
        <w:rPr>
          <w:b/>
        </w:rPr>
        <w:t xml:space="preserve">Quelle: </w:t>
      </w:r>
      <w:r>
        <w:t>https://mcp.opencaselaw.ch/entscheid/ge_gerichte_ATA_350_2013</w:t>
      </w:r>
    </w:p>
    <w:p>
      <w:r>
        <w:t>FR: GE_GERICHTE ATA/350/2013 du 4 juin 2013</w:t>
      </w:r>
    </w:p>
    <w:p>
      <w:r>
        <w:t>IT: GE_GERICHTE ATA/350/2013 del 4 giugno 2013</w:t>
      </w:r>
    </w:p>
    <w:p>
      <w:pPr>
        <w:pStyle w:val="Heading2"/>
      </w:pPr>
      <w:r>
        <w:t>Erwägungen</w:t>
      </w:r>
    </w:p>
    <w:p>
      <w:r>
        <w:rPr>
          <w:b/>
        </w:rPr>
        <w:t>E. 1</w:t>
      </w:r>
    </w:p>
    <w:p>
      <w:r>
        <w:t>Interjeté le 24 mai 2013 contre le jugement prononcé le 14 mai 2013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w:t>
      </w:r>
    </w:p>
    <w:p>
      <w:r>
        <w:rPr>
          <w:b/>
        </w:rPr>
        <w:t>E. 2</w:t>
      </w:r>
    </w:p>
    <w:p>
      <w:r>
        <w:t>Selon l’art. 10 al. 2 LaLEtr, la chambre administrative doit statuer dans les dix jours qui suivent sa saisine. Ayant reçu ledit recours le 27 mai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placé en détention administrative en vue de l’exécution de celle-ci s’il a été condamné pour crime (art. 76 al. 1 let. b ch. 1 de la loi fédérale sur les étrangers du 16 décembre 2005 [LEtr - RS 142.20] renvoyant à l’art. 75 al. 1 let. h LEtr).</w:t>
      </w:r>
    </w:p>
    <w:p>
      <w:r>
        <w:t>En outre, un étranger faisant l’objet d’une décision de renvoi peut être mis en détention administrative si des éléments concrets font craindre qu’il entend se soustraire à son expulsion, en particulier parce qu’il ne se soumet pas à son</w:t>
      </w:r>
    </w:p>
    <w:p>
      <w:r>
        <w:t>- 7/10 - A/1479/2013 obligation de collaborer, au sens des art. 90 LEtr,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w:t>
      </w:r>
    </w:p>
    <w:p>
      <w:r>
        <w:t>Les conditions de la mise en détention administrative ont été examinées dans l'ATA/282/2013 du 7 mai 2013, entré en force, si bien qu'il n'y a plus lieu d'y revenir.</w:t>
      </w:r>
    </w:p>
    <w:p>
      <w:r>
        <w:rPr>
          <w:b/>
        </w:rPr>
        <w:t>E. 5</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l’espèce, la durée de la détention administrative est encore bien inférieure à la durée légale maximale. L’autorité administrative a entrepris les démarches visant à obtenir l’identification de l'intéressé par les autorités marocaines comme ressortissant du Maroc.</w:t>
      </w:r>
    </w:p>
    <w:p>
      <w:r>
        <w:t>Le recourant invoque devant la chambre de céans, pour la première fois, le fait qu'il est en réalité homosexuel et qu'il est en train d'entreprendre des démarches en vue de conclure un partenariat enregistré avec un ressortissant norvégien au bénéfice d'un permis d'établissement. Il serait ainsi disproportionné de le maintenir en détention administrative alors qu'il pourra bénéficier du regroupement familial dès la conclusion dudit partenariat.</w:t>
      </w:r>
    </w:p>
    <w:p>
      <w:r>
        <w:rPr>
          <w:b/>
        </w:rPr>
        <w:t>E. 6</w:t>
      </w:r>
    </w:p>
    <w:p>
      <w:r>
        <w:t>a. Selon l'art. 5 al. 3 de la loi fédérale sur le partenariat enregistré entre personnes du même sexe du 18 juin 2004 (LPart - RS 211.231), les partenaires produisent les documents nécessaires. Les partenaires qui ne sont pas citoyens suisses doivent établir la légalité de leur séjour en Suisse au cours de la procédure préliminaire (art. 5 al. 4 LPart ; la portée de cette disposition, pendant de l'art. 98 al. 4 du Code civil suisse du 10 décembre 1907 – CCS – RS 210 – pour le mariage ayant été quelque peu relativisée par le Tribunal fédéral, ATF 137 I 351). L'office de l'état civil compétent vérifie que les conditions sont remplies et qu'il n'existe pas de motifs d'empêchement (art. 6 al. 1 LPart) ; l'officier de l'état civil refuse son concours lorsque l'un des partenaires ne veut manifestement pas mener une vie commune, mais éluder les dispositions sur l'admission et le séjour des étrangers (art. 6 al. 2 LPart ; voir pour la procédure l'art. 75m de l'ordonnance sur l'état civil, du 28 avril 2004 – OEC – RS 211.112.2).</w:t>
      </w:r>
    </w:p>
    <w:p>
      <w:r>
        <w:t>- 8/10 - A/1479/2013</w:t>
      </w:r>
    </w:p>
    <w:p>
      <w:r>
        <w:t>b. Par ailleurs, l'étranger entré légalement en Suisse pour un séjour temporaire qui dépose ultérieurement une demande d’autorisation de séjour durable doit attendre la décision à l’étranger (art. 17 al. 1 LEtr) ; l’autorité cantonale compétente peut autoriser l’étranger à séjourner en Suisse durant la procédure si les conditions d’admission sont manifestement remplies (art. 17 al. 2 LEtr).</w:t>
      </w:r>
    </w:p>
    <w:p>
      <w:r>
        <w:t>c. Le partenaire enregistré étranger du titulaire d'une autorisation d'établissement a droit à l'octroi d'une autorisation de séjour (et non d'emblée d'une autorisation d'établissement, cf. art. 43 al. 2 LEtr) et à la prolongation de sa durée de validité, à condition de vivre en ménage commun avec lui (art. 43 al. 1 cum art. 52 LEtr). Un tel droit ne découle en revanche pas directement de l'Annexe I à l'Accord entre la Confédération suisse d'une part, et la Communauté européenne et ses Etats membres, d'autre part, sur la libre circulation des personnes du 21 juin 1999 (ALCP - RS 0.142.112.681). En effet, si selon l'art. 3 ch. 1 Annexe I ALCP, les membres de la famille d’une personne ressortissant d’une partie contractante ayant un droit de séjour ont le droit de s’installer avec elle, le ch. 2 de cette disposition mentionne comme membres de la famille les conjoints, mais non les partenaires enregistrés.</w:t>
      </w:r>
    </w:p>
    <w:p>
      <w:r>
        <w:t>d. Le droit prévu à l'art. 43 LEtr s'éteint lorsqu'il est invoqué abusivement, notamment pour éluder les dispositions de la LEtr sur l'admission et le séjour ou ses dispositions d'exécution (art. 51 al. 2 let. a LEtr).</w:t>
      </w:r>
    </w:p>
    <w:p>
      <w:r>
        <w:t>e. Enfin,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(art. 62 let. c LEtr).</w:t>
      </w:r>
    </w:p>
    <w:p>
      <w:r>
        <w:rPr>
          <w:b/>
        </w:rPr>
        <w:t>E. 7</w:t>
      </w:r>
    </w:p>
    <w:p>
      <w:r>
        <w:t>Il résulte des dispositions qui précèdent que M. H______ ne peut en l'état être considéré comme assuré d'obtenir une autorisation de séjour pour regroupement familial, puisque tant l'absence de volonté d'éluder les dispositions de police des étrangers que la grave mise en danger potentielle de l'ordre public suisse devront préalablement être examinées par les autorités compétentes. Ces questions sortent du pouvoir d'examen de la chambre de céans dans le cadre du contrôle de la détention administrative. Qui plus est, rien n'empêcherait M. H______ de retirer sa demande de partenariat enregistré ou de ne pas conclure ce dernier en cas de libération.</w:t>
      </w:r>
    </w:p>
    <w:p>
      <w:r>
        <w:t>Le maintien en détention administrative est dès lors conforme au principe de proportionnalité. Aucune mesure moins incisive ne permettrait d'assurer la présence de l'intéressé le jour où l'exécution du renvoi pourrait avoir lieu. Le principe de la célérité a lui aussi été respecté.</w:t>
      </w:r>
    </w:p>
    <w:p>
      <w:r>
        <w:rPr>
          <w:b/>
        </w:rPr>
        <w:t>E. 8</w:t>
      </w:r>
    </w:p>
    <w:p>
      <w:r>
        <w:t>Selon l’art. 80 al. 4 LEtr, l’autorité judiciaire qui examine la décision de détention administrative tient compte de la situation familiale de la personne</w:t>
      </w:r>
    </w:p>
    <w:p>
      <w:r>
        <w:t>- 9/10 - A/1479/2013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Les motifs invoqués à cet égard par le recourant, également fondés sur sa récente demande de conclusion d'un partenariat enregistré, se recoupent avec celui, précédemment examiné, de non-proportionnalité de la détention administrative. L'obligation de rester au Maroc durant la procédure d'enregistrement du partenariat apparaît ainsi licite et raisonnablement exigible, si bien que le grief y relatif sera écarté. Le dossier ne laisse par ailleurs apparaître aucun élément donnant à penser que le renvoi ne serait pas possible, pas licite ou pas raisonnablement exigible.</w:t>
      </w:r>
    </w:p>
    <w:p>
      <w:r>
        <w:rPr>
          <w:b/>
        </w:rPr>
        <w:t>E. 9</w:t>
      </w:r>
    </w:p>
    <w:p>
      <w:r>
        <w:t>Le recours sera rejeté. Vu la nature du litige, aucun émolument ne sera perçu (art. 87 al. 1 LPA et art. 12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