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ATA/349/2018 vom 17. April 2018</w:t>
      </w:r>
    </w:p>
    <w:p>
      <w:r>
        <w:t>GE Cour de justice, 2018-04-17, FR</w:t>
      </w:r>
    </w:p>
    <w:p>
      <w:r>
        <w:rPr>
          <w:b/>
        </w:rPr>
        <w:t xml:space="preserve">Quelle: </w:t>
      </w:r>
      <w:r>
        <w:t>https://mcp.opencaselaw.ch/entscheid/ge_gerichte_ATA_349_2018</w:t>
      </w:r>
    </w:p>
    <w:p>
      <w:r>
        <w:t>FR: GE_GERICHTE ATA/349/2018 du 17 avril 2018</w:t>
      </w:r>
    </w:p>
    <w:p>
      <w:r>
        <w:t>IT: GE_GERICHTE ATA/349/2018 del 17 aprile 2018</w:t>
      </w:r>
    </w:p>
    <w:p>
      <w:pPr>
        <w:pStyle w:val="Heading2"/>
      </w:pPr>
      <w:r>
        <w:t>Erwägungen</w:t>
      </w:r>
    </w:p>
    <w:p>
      <w:r>
        <w:rPr>
          <w:b/>
        </w:rPr>
        <w:t>E. 12</w:t>
      </w:r>
    </w:p>
    <w:p>
      <w:r>
        <w:t>septembre 1985 - LPA - E 5 10). 2)</w:t>
      </w:r>
    </w:p>
    <w:p>
      <w:r>
        <w:t>La LDTR a pour but de préserver l’habitat et les conditions de vie existants, ainsi que le caractère actuel de l’habitat (art. 1 al. 1 LDTR) dans les zones et pour les types d’habitation énoncés à l’art. 2 LDTR. À cette fin, cette loi prévoit, en particulier, tout en assurant la protection des locataires et des propriétaires d’appartements, des restrictions quant à l’aliénation des logements destinés à la location (art. 1 al. 2 let. a LDTR).</w:t>
      </w:r>
    </w:p>
    <w:p>
      <w:r>
        <w:t>Selon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En vertu de l'al. 2 de cette disposition, le département refuse l'autorisation lorsqu'un motif prépondérant d'intérêt public ou d'intérêt général s'y oppose. L'intérêt public et l'intérêt général résident dans le maintien, en période de pénurie de logements, de l'affectation locative des appartements loués. 3)</w:t>
      </w:r>
    </w:p>
    <w:p>
      <w:r>
        <w:t>Le litige porte exclusivement sur la question de savoir si une donation est une aliénation au sens de l’art. 39 al. 1 LDTR. 4)</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w:t>
      </w:r>
    </w:p>
    <w:p>
      <w:r>
        <w:t>- 7/10 - A/3600/2016 préparatoires (interprétation historique ; ATF 143 I 109 consid. 6 ; 142 II 388 consid. 9.6.1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5) a. Dans un arrêt du 1er avril 1987 (ATF 113 Ia 126 consid. 7.b/aa), lors de l’adoption de cette norme, le Tribunal fédéral avait précisé que sous l'angle de la garantie de la propriété et sous réserve du respect du principe de la proportionnalité, rien ne s'oppos[ait] à ce que non seulement les ventes, mais aussi les donations soient soumises à autorisation. Il en [allait] de même en cas d'aliénation forcée, d'avancement d'hoirie, de partage ou de liquidation d'un régime matrimonial, pour autant que ces aliénations aient pour conséquence la transformation d'un appartement offert en location en logement soumis au régime de la propriété par étages.</w:t>
      </w:r>
    </w:p>
    <w:p>
      <w:r>
        <w:t>La doctrine la plus récente retient que, tout comme l'aliénation forcée, l'avancement d'hoirie, le partage successoral ou la liquidation d'un régime matrimonial, la donation entraîne le transfert de la propriété de l'appartement à autrui. Qu'il ait lieu à titre gratuit ou onéreux n'importe pas. Le critère déterminant est de savoir si l'opération a pour effet d'individualiser l'appartement (Emmanuelle GAIDE/Valérie DÉFAGO GAUDIN, La LDTR : Démolition, transformation, rénovation, changement d'affectation et aliénation : immeubles de logement et appartements : loi genevoise et panorama des autres lois cantonales, Stämpfli 2014, p. 413-415 et jurisprudence citée).</w:t>
      </w:r>
    </w:p>
    <w:p>
      <w:r>
        <w:t>b. Outre l’arrêt précité publié aux ATF, le Tribunal fédéral a eu l’occasion de rendre plusieurs arrêts récemment dans lesquels il a rappelé le but de la LDTR et repris la notion d’aliénation (arrêts 1C_123/2017, 1C_124/2017, 1C_125/2017, 1C_361/2017 du 23 novembre 2017 consid. 3.2).</w:t>
      </w:r>
    </w:p>
    <w:p>
      <w:r>
        <w:t>Selon la haute Cour, la LDTR tend à préserver l'habitat et les conditions de vie existants, en restreignant notamment le changement d'affectation des maisons d'habitation (art. 1 al. 1 et 2 let. a LDTR). Ce but procède d'un intérêt public important et reconnu (ATF 128 I 206 consid. 5.2.4 ; 113 Ia 126 consid. 7a ; 111 Ia 23 consid. 3a et les arrêts cités).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w:t>
      </w:r>
    </w:p>
    <w:p>
      <w:r>
        <w:t>- 8/10 - A/3600/2016 conforme à la garantie de la propriété (art. 26 al. 1 de la Constitution fédérale de la Confédération suisse du 18 avril 1999 - Cst. RS 101), l'autorité administrative doit effectuer une pesée des intérêts en présence et évaluer l'importance du motif de refus au regard des intérêts privés en jeu (ATF 113 Ia 126 consid. 7b/aa ; arrêt 1C_141/2011 du 14 juillet 2011 consid. 3.2).</w:t>
      </w:r>
    </w:p>
    <w:p>
      <w:r>
        <w:t>Le Tribunal fédéral a expressément mentionné qu’ « afin qu'une telle réglementation soit réellement efficace, elle doit s'appliquer à tous types d'aliénation, comme le prévoit expressément le texte de l'art. 39 al. 1 LDTR. Entendue comme l'un des aspects du droit de disposition attachés à la propriété (art. 641 al. 1 CC), l'aliénation constitue le transfert de propriété d'une personne à une autre » (arrêts du Tribunal fédéral 1C_123/2017, 1C_124/2017, 1C_125/2017, 1C_361/2017 du 23 novembre 2017 consid. 3.2 précités).</w:t>
      </w:r>
    </w:p>
    <w:p>
      <w:r>
        <w:t>c. En l’espèce, dès lors qu’une donation est, à teneur de l’art. 239 al. 1 de la loi fédérale du 30 mars 1911, complétant le Code civil suisse (CO, Code des obligations - RS 220), la disposition entre vifs par laquelle une personne cède tout ou partie de ses biens à une autre sans contre-prestation correspondante, la donation implique un transfert de propriété. La donation entre en conséquence dans la définition de l’aliénation de l’art. 39 al. 1 LDTR.</w:t>
      </w:r>
    </w:p>
    <w:p>
      <w:r>
        <w:t>Conformément aux considérants qui précèdent, les références citées par la recourante étant anciennes et n’étant plus d’actualité, qu’il s’agisse des objectifs de la législation concernée ou de la jurisprudence, elles n’emportent pas conviction.</w:t>
      </w:r>
    </w:p>
    <w:p>
      <w:r>
        <w:t>Ainsi, même à considérer que le texte légal ne serait pas clair, l’interprétation téléologique, la plus pertinente en l’espèce compte tenu des nombreuses révisions dont la loi a fait l’objet y compris l’évolution de celle-ci dans la définition de ses buts (Emmanuelle GAIDE/Valérie DÉFAGO GAUDIN, op. cit., p. 108), aboutit au rejet du recours. 6)</w:t>
      </w:r>
    </w:p>
    <w:p>
      <w:r>
        <w:t>Vu l’issue du litige, il ne sera pas perçu d’émolument (art. 87 al. 1 LPA), ni alloué d’indemnité, les intimés n’y ayant pas conclu.</w:t>
      </w:r>
    </w:p>
    <w:p>
      <w:r>
        <w:t>* * * * *</w:t>
      </w:r>
    </w:p>
    <w:p>
      <w:r>
        <w:t>- 9/10 - A/3600/2016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