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ATA/349/2015 vom 14. April 2015</w:t>
      </w:r>
    </w:p>
    <w:p>
      <w:r>
        <w:t>GE Cour de justice, 2015-04-14, FR</w:t>
      </w:r>
    </w:p>
    <w:p>
      <w:r>
        <w:rPr>
          <w:b/>
        </w:rPr>
        <w:t xml:space="preserve">Quelle: </w:t>
      </w:r>
      <w:r>
        <w:t>https://mcp.opencaselaw.ch/entscheid/ge_gerichte_ATA_349_2015</w:t>
      </w:r>
    </w:p>
    <w:p>
      <w:r>
        <w:t>FR: GE_GERICHTE ATA/349/2015 du 14 avril 2015</w:t>
      </w:r>
    </w:p>
    <w:p>
      <w:r>
        <w:t>IT: GE_GERICHTE ATA/349/2015 del 14 aprile 2015</w:t>
      </w:r>
    </w:p>
    <w:p>
      <w:pPr>
        <w:pStyle w:val="Heading2"/>
      </w:pPr>
      <w:r>
        <w:t>Regeste</w:t>
      </w:r>
    </w:p>
    <w:p>
      <w:r>
        <w:t>Résumé: Rejet du recours contre une décision de placement d'un détenu pour deux jours en cellule forte pour violence physique exercée sur un détenu et trouble à l'ordre de l'établissement. Toujours incarcéré, le recourant conserve un intérêt juridique actuel au recours. Compte tenu des circonstances et de son comportement, la sanction disciplinaire prononcée à son encontre se justifiait et respectait le principe de la proportionnalité.</w:t>
      </w:r>
    </w:p>
    <w:p>
      <w:pPr>
        <w:pStyle w:val="Heading2"/>
      </w:pPr>
      <w:r>
        <w:t>Erwägungen</w:t>
      </w:r>
    </w:p>
    <w:p>
      <w:r>
        <w:rPr>
          <w:b/>
        </w:rPr>
        <w:t>E. 1</w:t>
      </w:r>
    </w:p>
    <w:p>
      <w:r>
        <w:t>consid. 2 p. 7 ; arrêt du Tribunal fédéral 1C_76/2009 du 30 avril 2009 consid.</w:t>
      </w:r>
    </w:p>
    <w:p>
      <w:r>
        <w:rPr>
          <w:b/>
        </w:rPr>
        <w:t>E. 2</w:t>
      </w:r>
    </w:p>
    <w:p>
      <w:r>
        <w:t>; ATA/175/2007 du 17 avril 2007 consid. 2a ; ATA/915/2004 du 23 novembre 2004 consid. 2b) ou déclaré irrecevable (ATF 123 II 285 consid. 4 p. 286 ss ; arrêt du Tribunal fédéral 1C_69/2007 du 11 juin 2007 consid. 2.3 ; ATA/192/2009 du 21 avril 2009 ; ATA/640/2005 du 27 septembre 2005).</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ATA/418/2012 du 3 juillet 2012 consid. 2d ; ATA/365/2009 du 28 juillet 2009).</w:t>
      </w:r>
    </w:p>
    <w:p>
      <w:r>
        <w:t>En l’espèce, le recourant dispose d'un intérêt digne de protection à recourir contre la sanction prononcée contre lui. La légalité d’un placement en cellule forte doit pouvoir faire l’objet d’un contrôle en vertu de la jurisprudence du Tribunal fédéral précitée, nonobstant l’absence d’intérêt actuel, puisque cette sanction a déjà été exécutée, dans la mesure où cette situation pourrait encore se présenter (ATA/183/2013 du 19 mars 2013 et la jurisprudence citée), dès lors qu'il ne ressort pas du dossier qu'il aurait quitté la prison à ce jour. Le recours est ainsi recevable de ce point de vue également. 3) a. À teneur de l'art. 65 LPA, l’acte de recours contient, sous peine d’irrecevabilité, la désignation de la décision attaquée et les conclusions du recourant (al. 1). Il contient également l’exposé des motifs ainsi que l’indication des moyens de preuve. Les pièces dont dispose le recourant doivent être jointes. À</w:t>
      </w:r>
    </w:p>
    <w:p>
      <w:r>
        <w:t>- 5/8 - A/3625/2014 défaut, la juridiction saisie impartit un bref délai au recourant pour satisfaire à ces exigences, sous peine d’irrecevabilité (al. 2).</w:t>
      </w:r>
    </w:p>
    <w:p>
      <w:r>
        <w:t>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l’autorité judiciaire et la partie adverse puissent comprendre avec certitude les fins du recourant (ATA/350/2014 du 13 mai 2014 ; ATA/818/2013 du 18 décembre 2013 ; ATA/844/2012 du 18 décembre 2012 ; ATA/681/2010 du 5 octobre 2010). Une requête en annulation d’une décision doit, par exemple, être déclarée recevable dans la mesure où le recourant a, de manière suffisante, manifesté son désaccord avec la décision, ainsi que sa volonté qu’elle ne développe pas d’effets juridiques (ATA/818/2013 précité ; ATA/844/2012 précité ; ATA/670/2010 du 28 septembre 2010 ; Pierre MOOR/Etienne POLTIER, Droit administratif, vol. II, 2011, 3ème éd., p. 624 n. 5.3.1.2).</w:t>
      </w:r>
    </w:p>
    <w:p>
      <w:r>
        <w:t>Les conclusions doivent être complétées dans le cadre du délai de recours. Au-delà de celui-ci, elles sont irrecevables (ATA/208/2015 du 24 février 2015 et les références citées).</w:t>
      </w:r>
    </w:p>
    <w:p>
      <w:r>
        <w:t>c. L’exigence de motivation de l’art. 65 al. 2 LPA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(ATA/208/2015 du 24 février 2015 et les références citées).</w:t>
      </w:r>
    </w:p>
    <w:p>
      <w:r>
        <w:t>d. En l'espèce, le recourant, non représenté par un avocat, a manifesté par écrit, le 17 novembre 2014, son désaccord concernant la décision de punition du 30 octobre 2014 prononcée à son encontre. Après y avoir été invité par la chambre de céans, il a, dans le délai imparti, exposé les motifs pour lesquels il sollicitait l'annulation de cette sanction.</w:t>
      </w:r>
    </w:p>
    <w:p>
      <w:r>
        <w:t>Le recours est en conséquence recevable. 4)</w:t>
      </w:r>
    </w:p>
    <w:p>
      <w:r>
        <w:t>Le recourant semble se prévaloir d'une constatation inexacte des faits dans le cadre du présent litige, en contestant dans ses écritures qu'il y ait eu violence physique dans son échange avec un autre détenu, dans la mesure où la présence des gardiens au cours de leur tournée de 18h30 aurait empêché tous coups et/ou blessures. Selon lui, le fait que lesdits surveillants les aient conduits, lui et son codétenu, en cellule forte aurait mis fin à l'incident entre les deux hommes au sujet de la télévision.</w:t>
      </w:r>
    </w:p>
    <w:p>
      <w:r>
        <w:t>- 6/8 - A/3625/2014 5) a.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3ème éd., 2011, p. 142 à 145 et la jurisprudence citée).</w:t>
      </w:r>
    </w:p>
    <w:p>
      <w:r>
        <w:t>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ou par négligence, la négligence n’ayant pas à être prévue dans une disposition expresse pour entraîner la punissabilité de l’auteur (ATA/785/2012 du 20 novembre 2012 ; ATA/238/2012 du 24 avril 2012 et les références citées). 6) a. 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w:t>
      </w:r>
    </w:p>
    <w:p>
      <w:r>
        <w:t>b. 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 et n’a d’aucune façon le droit de troubler l’ordre et la tranquillité de la prison (art. 45 let. h RRIP).</w:t>
      </w:r>
    </w:p>
    <w:p>
      <w:r>
        <w:t>c.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w:t>
      </w:r>
    </w:p>
    <w:p>
      <w:r>
        <w:t>d. Selon les art. 47 al. 3 et 47 al. 5 RRIP, le directeur est compétent pour prononcer les sanctions suivantes a) suppression de visite pour quinze jours au plus ; b) suppression des promenades collectives ; c) suppression d’achat pour quinze jours au plus ; d) suppression de l’usage des moyens audiovisuels pour quinze jours au plus ; e) privation de travail ; f) placement en cellule forte pour</w:t>
      </w:r>
    </w:p>
    <w:p>
      <w:r>
        <w:t>- 7/8 - A/3625/2014 dix jours au plus, étant précisé que ces sanctions peuvent se cumuler (art. 47 al. 4 RRIP). 7)</w:t>
      </w:r>
    </w:p>
    <w:p>
      <w:r>
        <w:t>En l'espèce, aucun élément du dossier ne permet de mettre en cause le rapport établi par la surveillante ayant assisté à une scène de bagarre entre le recourant et un autre détenu. En effet, la succincte description des faits par l'intéressé ne permet pas de retenir un élément concret permettant de démontrer l'inexistence d'une altercation avec violences physiques. Point n'est d'ailleurs besoin que l'une des parties à la bagarre soit blessée pour qu'il y ait violation du RRIP (ATA/492/2014 du 24 juin 2014). Enfin, il apparaît douteux que le personnel de la prison soit intervenu en l'absence de toute scène de violence, dans un premier temps pour séparer les deux détenus et, dans un second temps pour les conduire en cellule forte, usant de la contrainte pour le recourant, ce que ce dernier ne conteste pas.</w:t>
      </w:r>
    </w:p>
    <w:p>
      <w:r>
        <w:t>Par conséquent, dès lors que le comportement du recourant, qui n'a pas adopté une attitude correcte à l'égard d'une autre personne incarcérée, s'avère de nature à troubler l'ordre et la tranquillité de l'établissement, son placement en cellule forte pour deux jours, cette sanction pouvant être prononcée pour dix jours au maximum, se justifie et respecte le principe de la proportionnalité. 8)</w:t>
      </w:r>
    </w:p>
    <w:p>
      <w:r>
        <w:t>Compte tenu de ce qui précède, le recours sera rejeté.</w:t>
      </w:r>
    </w:p>
    <w:p>
      <w:r>
        <w:t>Vu la nature du litige, aucun émolument ne sera perçu (art. 87 al. 1 LPA ; art. 12 al. 1 du règlement sur les frais, émoluments et indemnités en procédure administrative du 30 juillet 1986 - RFPA - E 5 10.03).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