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ATA/349/2013 vom 4. Juni 2013</w:t>
      </w:r>
    </w:p>
    <w:p>
      <w:r>
        <w:t>GE Cour de justice, 2013-06-04, FR</w:t>
      </w:r>
    </w:p>
    <w:p>
      <w:r>
        <w:rPr>
          <w:b/>
        </w:rPr>
        <w:t xml:space="preserve">Quelle: </w:t>
      </w:r>
      <w:r>
        <w:t>https://mcp.opencaselaw.ch/entscheid/ge_gerichte_ATA_349_2013</w:t>
      </w:r>
    </w:p>
    <w:p>
      <w:r>
        <w:t>FR: GE_GERICHTE ATA/349/2013 du 4 juin 2013</w:t>
      </w:r>
    </w:p>
    <w:p>
      <w:r>
        <w:t>IT: GE_GERICHTE ATA/349/2013 del 4 giugno 2013</w:t>
      </w:r>
    </w:p>
    <w:p>
      <w:pPr>
        <w:pStyle w:val="Heading2"/>
      </w:pPr>
      <w:r>
        <w:t>Erwägungen</w:t>
      </w:r>
    </w:p>
    <w:p>
      <w:r>
        <w:rPr>
          <w:b/>
        </w:rPr>
        <w:t>E. 1</w:t>
      </w:r>
    </w:p>
    <w:p>
      <w:r>
        <w:t>Interjeté le 27 mai 2013 contre le jugement du TAPI prononcé et notifié le 17 mai 2013,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27 mai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Les art. 75 et 76 LEtr prévoient les conditions auxquelles la détention administrative d’une personne peut être ordonnée afin d’assurer l’exécution du renvoi de celle-là.</w:t>
      </w:r>
    </w:p>
    <w:p>
      <w:r>
        <w:t>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w:t>
      </w:r>
    </w:p>
    <w:p>
      <w:r>
        <w:rPr>
          <w:b/>
        </w:rPr>
        <w:t>E. 7</w:t>
      </w:r>
    </w:p>
    <w:p>
      <w:r>
        <w:t>septembre 2011).</w:t>
      </w:r>
    </w:p>
    <w:p>
      <w:r>
        <w:t>c. Selon la jurisprudence, le but de la détention pour insoumission est de pousser un étranger, tenu de quitter la Suisse, à changer de comportement, lorsqu’à l’échéance du délai de départ, l’exécution de la décision de renvoi, entrée</w:t>
      </w:r>
    </w:p>
    <w:p>
      <w:r>
        <w:t>- 6/9 - A/1566/2013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ATA/82/2013 du 14 février 2013 ; ATA/3/2013 du 3 janvier 2013 ; ATA/512/2011 du 16 août 2011, confirmé par Arrêt du Tribunal fédéral 2C_624/2011 du 12 septembre 2011). 5.</w:t>
      </w:r>
    </w:p>
    <w:p>
      <w:r>
        <w:t>En l’espèce, M. B______ fait l’objet d’une décision de renvoi prise le</w:t>
      </w:r>
    </w:p>
    <w:p>
      <w:r>
        <w:rPr>
          <w:b/>
        </w:rPr>
        <w:t>E. 8</w:t>
      </w:r>
    </w:p>
    <w:p>
      <w:r>
        <w:t>Enfin, rien ne permet de savoir pourquoi le recourant allègue que le laissez- passer qui lui a été délivré par les autorités de son pays serait un faux.</w:t>
      </w:r>
    </w:p>
    <w:p>
      <w:r>
        <w:rPr>
          <w:b/>
        </w:rPr>
        <w:t>E. 9</w:t>
      </w:r>
    </w:p>
    <w:p>
      <w:r>
        <w:t>Même si M. B______ le souhaite, les autorités suisses n’ont pas la possibilité de le renvoyer dans un autre pays que celui dont il est originaire, sauf s’il venait à démontrer, ce qu’il n’a jamais allégué jusqu’ici, avoir transité, avant de venir en Suisse, par un autre pays européen lié par les accords de Schengen, ou disposer d’un titre de séjour dans un des pays dans lesquels il souhaiterait se rendre.</w:t>
      </w:r>
    </w:p>
    <w:p>
      <w:r>
        <w:rPr>
          <w:b/>
        </w:rPr>
        <w:t>E. 10</w:t>
      </w:r>
    </w:p>
    <w:p>
      <w:r>
        <w:t>En tous points mal fondé, le recours sera rejeté. Vu la nature du litige, il ne sera pas perçu d’émolument (art. 87 al. 1 LPA ; art. 11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