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ATA/348/2022 vom 5. April 2022</w:t>
      </w:r>
    </w:p>
    <w:p>
      <w:r>
        <w:t>GE Cour de justice, 2022-04-05, FR</w:t>
      </w:r>
    </w:p>
    <w:p>
      <w:r>
        <w:rPr>
          <w:b/>
        </w:rPr>
        <w:t xml:space="preserve">Quelle: </w:t>
      </w:r>
      <w:r>
        <w:t>https://mcp.opencaselaw.ch/entscheid/ge_gerichte_ATA_348_2022</w:t>
      </w:r>
    </w:p>
    <w:p>
      <w:r>
        <w:t>FR: GE_GERICHTE ATA/348/2022 du 5 avril 2022</w:t>
      </w:r>
    </w:p>
    <w:p>
      <w:r>
        <w:t>IT: GE_GERICHTE ATA/348/2022 del 5 aprile 2022</w:t>
      </w:r>
    </w:p>
    <w:p>
      <w:pPr>
        <w:pStyle w:val="Heading2"/>
      </w:pPr>
      <w:r>
        <w:t>Erwägungen</w:t>
      </w:r>
    </w:p>
    <w:p>
      <w:r>
        <w:rPr>
          <w:b/>
        </w:rPr>
        <w:t>E. 12</w:t>
      </w:r>
    </w:p>
    <w:p>
      <w:r>
        <w:t>septembre 1985 - LPA - E 5 10 ; art. 38 LGEPA).</w:t>
      </w:r>
    </w:p>
    <w:p>
      <w:r>
        <w:t>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234.- par jour à compter du 1er juillet 2021. 2)</w:t>
      </w:r>
    </w:p>
    <w:p>
      <w:r>
        <w:t>La recourante se plaint d’une violation du droit d’être entendu de sa direction, qui n’a pas été associée à la décision litigieuse ni n’a été appelée en cause.</w:t>
      </w:r>
    </w:p>
    <w:p>
      <w:r>
        <w:t>a. Tel qu’il est garanti par l’art. 29 al. 2 Cst., le droit d’être entendu comprend notamment le droit pour les parties de participer à l’administration des preuves, d’en prendre connaissance et de se déterminer à leur propos (ATF 142 II 154 consid. 2.1 et 4.2 ; 132 II 485 consid. 3.2).</w:t>
      </w:r>
    </w:p>
    <w:p>
      <w:r>
        <w:t>- 14/24 - A/2582/2021</w:t>
      </w:r>
    </w:p>
    <w:p>
      <w:r>
        <w:t>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w:t>
      </w:r>
    </w:p>
    <w:p>
      <w:r>
        <w:t>La recourante reproche à la décision litigieuse de ne pas être suffisamment motivée.</w:t>
      </w:r>
    </w:p>
    <w:p>
      <w:r>
        <w:t>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w:t>
      </w:r>
    </w:p>
    <w:p>
      <w:r>
        <w:t>b. En l’espèce, la décision litigieuse fixe le prix de pension à CHF 234.- le jour dès le 1er juillet 2021, en application des art. 24 et 25 RGEPA, au vu de l’absence de réponse de la recourante au courrier du département du 19 avril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du 4 mars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w:t>
      </w:r>
    </w:p>
    <w:p>
      <w:r>
        <w:t>Dès lors, la recourante ne pouvait ignorer que le département allait procéder à une baisse du prix de pension pour les motifs indiqués, raison pour laquelle il lui a demandé, dans son courrier du 19 avril 2021, la production de tous les documents nécessaires au nouveau calcul, que la recourante s’est toutefois refusée</w:t>
      </w:r>
    </w:p>
    <w:p>
      <w:r>
        <w:t>- 15/24 - A/2582/2021 à lui remettre en ne répondant pas à ce courrier.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w:t>
      </w:r>
    </w:p>
    <w:p>
      <w:r>
        <w:t>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5)</w:t>
      </w:r>
    </w:p>
    <w:p>
      <w:r>
        <w:t>La recourante se prévaut d’une violation du principe de la légalité sous plusieurs aspects.</w:t>
      </w:r>
    </w:p>
    <w:p>
      <w:r>
        <w:t>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w:t>
      </w:r>
    </w:p>
    <w:p>
      <w:r>
        <w:t>- 16/24 - A/2582/2021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w:t>
      </w:r>
    </w:p>
    <w:p>
      <w:r>
        <w:t>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w:t>
      </w:r>
    </w:p>
    <w:p>
      <w:r>
        <w:t>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1er novembre 2019 consid. 9). Pour que le Conseil d’État puisse édicter des normes de substitution, ou normes primaires, il faut qu’une clause de délégation législative l’y habilite (ATF 133 II 331 consid. 7.2.1).</w:t>
      </w:r>
    </w:p>
    <w:p>
      <w:r>
        <w:t>d. De jurisprudence constante, la légalité d’un règlement peut être remise en cause devant la chambre de céans à l’occasion d’un cas d’application (ATA/928/2021 du 7 septembre 2021 consid. 5b).</w:t>
      </w:r>
    </w:p>
    <w:p>
      <w:r>
        <w:t>- 17/24 - A/2582/2021 6)</w:t>
      </w:r>
    </w:p>
    <w:p>
      <w:r>
        <w:t>La recourante se plaint d’une violation du principe de la séparation des pouvoirs, dès lors que l’art. 19 RGEPA serait une norme primaire s’écartant de la définition donnée par le législateur à la notion de « mêmes principes » figurant à l’art. 17 al. 2 LGEPA.</w:t>
      </w:r>
    </w:p>
    <w:p>
      <w:r>
        <w:t>a. Le 1er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w:t>
      </w:r>
    </w:p>
    <w:p>
      <w:r>
        <w:t>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w:t>
      </w:r>
    </w:p>
    <w:p>
      <w:r>
        <w:t>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w:t>
      </w:r>
    </w:p>
    <w:p>
      <w:r>
        <w:t>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w:t>
      </w:r>
    </w:p>
    <w:p>
      <w:r>
        <w:t>- 18/24 - A/2582/2021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w:t>
      </w:r>
    </w:p>
    <w:p>
      <w:r>
        <w:t>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w:t>
      </w:r>
    </w:p>
    <w:p>
      <w:r>
        <w:t>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w:t>
      </w:r>
    </w:p>
    <w:p>
      <w:r>
        <w:t>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w:t>
      </w:r>
    </w:p>
    <w:p>
      <w:r>
        <w:t>- 19/24 - A/2582/2021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w:t>
      </w:r>
    </w:p>
    <w:p>
      <w:r>
        <w:t>La recourante soutient que la diminution du prix de pension serait une sanction ne figurant pas dans le catalogue de l’art. 37 LGEPA, en violation du principe de la légalité.</w:t>
      </w:r>
    </w:p>
    <w:p>
      <w:r>
        <w:t>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w:t>
      </w:r>
    </w:p>
    <w:p>
      <w:r>
        <w:t>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w:t>
      </w:r>
    </w:p>
    <w:p>
      <w:r>
        <w:t>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w:t>
      </w:r>
    </w:p>
    <w:p>
      <w:r>
        <w:t>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w:t>
      </w:r>
    </w:p>
    <w:p>
      <w:r>
        <w:t>Selon la recourante, la décision litigieuse serait contraire aux art. 24 s RGEPA ainsi qu’au principe de la proportionnalité, concrétisé à l’art. 25 al. 3 RGEPA.</w:t>
      </w:r>
    </w:p>
    <w:p>
      <w:r>
        <w:t>- 20/24 - A/2582/2021</w:t>
      </w:r>
    </w:p>
    <w:p>
      <w:r>
        <w:t>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w:t>
      </w:r>
    </w:p>
    <w:p>
      <w:r>
        <w:t>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w:t>
      </w:r>
    </w:p>
    <w:p>
      <w:r>
        <w:t>b. Un prix de pension unique, déterminé selon les trois composantes figurant aux art. 25 à 27 RGEPA, est appliqué au sein du même établissement, et ce quel que soit le nombre de lits par chambre (art. 24 RGEPA).</w:t>
      </w:r>
    </w:p>
    <w:p>
      <w:r>
        <w:t>L’art. 25 RGEPA précise que le département détermine un forfait socio- hôtelier de référence sur la base d’un outil d’analyse des prestations socio- 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w:t>
      </w:r>
    </w:p>
    <w:p>
      <w:r>
        <w:t>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w:t>
      </w:r>
    </w:p>
    <w:p>
      <w:r>
        <w:t>d. En l’espèce, comme précédemment indiqué, en vue de faire cesser une situation contraire à la loi, l’autorité intimée a procédé à la diminution du prix de pension, plus précisément de la part du forfait socio-hôtelier le composant.</w:t>
      </w:r>
    </w:p>
    <w:p>
      <w:r>
        <w:t>- 21/24 - A/2582/2021</w:t>
      </w:r>
    </w:p>
    <w:p>
      <w:r>
        <w:t>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19 avril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(ATA/897/2010 du 21 décembre 2010 consid. 6b).</w:t>
      </w:r>
    </w:p>
    <w:p>
      <w:r>
        <w:t>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19 avril 2021.</w:t>
      </w:r>
    </w:p>
    <w:p>
      <w:r>
        <w:t>Enfin, l’argument en lien avec le délai de résiliation du contrat-type du directeur de la recourante est sans pertinence, dès lors qu’il s’agit du rapport liant ledit employé à l’intéressée. 9)</w:t>
      </w:r>
    </w:p>
    <w:p>
      <w:r>
        <w:t>Dans un dernier grief, la recourante considère que la décision litigieuse serait contraire au principe de la bonne foi.</w:t>
      </w:r>
    </w:p>
    <w:p>
      <w:r>
        <w:t>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w:t>
      </w:r>
    </w:p>
    <w:p>
      <w:r>
        <w:t>b. En l’espèce, l’on ne voit pas en quoi l’autorité intimée se serait comportée de manière déloyale ou propre à créer des attentes chez la recourante. Même si le conseiller d’État a, à plusieurs reprises, indiqué être favorable à une réévaluation</w:t>
      </w:r>
    </w:p>
    <w:p>
      <w:r>
        <w:t>- 22/24 - A/2582/2021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w:t>
      </w:r>
    </w:p>
    <w:p>
      <w:r>
        <w:t>Entièrement mal fondé, le recours sera rejeté. 10) Vu l’issue du litige, un émolument de CHF 500.- sera mis à la charge de la recourante, qui succombe (art. 87 al. 1 LPA), et aucune indemnité de procédure ne lui sera accordée (art. 87 al. 2 LPA).</w:t>
      </w:r>
    </w:p>
    <w:p>
      <w:r>
        <w:t>* * * * *</w:t>
      </w:r>
    </w:p>
    <w:p>
      <w:r>
        <w:t>- 23/24 - A/2582/2021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