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ATA/348/2011 vom 31. Mai 2011</w:t>
      </w:r>
    </w:p>
    <w:p>
      <w:r>
        <w:t>GE Cour de justice, 2011-05-31, FR</w:t>
      </w:r>
    </w:p>
    <w:p>
      <w:r>
        <w:rPr>
          <w:b/>
        </w:rPr>
        <w:t xml:space="preserve">Quelle: </w:t>
      </w:r>
      <w:r>
        <w:t>https://mcp.opencaselaw.ch/entscheid/ge_gerichte_ATA_348_2011</w:t>
      </w:r>
    </w:p>
    <w:p>
      <w:r>
        <w:t>FR: GE_GERICHTE ATA/348/2011 du 31 mai 2011</w:t>
      </w:r>
    </w:p>
    <w:p>
      <w:r>
        <w:t>IT: GE_GERICHTE ATA/348/2011 del 31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l’entrée en vigueur de la nouvelle loi sur l’organisation judiciaire du 26 septembre 2010 (LOJ - E 2 05), l’ensemble des compétences jusqu’alors dévolues au Tribunal administratif a échu à la chambre administrative de la Cour de justice, qui devient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(art. 56A LOJ; art. 63 al. 1 let. a LPA, dans leur teneur au 31 décembre 2010).</w:t>
      </w:r>
    </w:p>
    <w:p>
      <w:r>
        <w:rPr>
          <w:b/>
        </w:rPr>
        <w:t>E. 3</w:t>
      </w:r>
    </w:p>
    <w:p>
      <w:r>
        <w:t>Les parties ont l’obligation de collaborer à la constatation des faits dans les procédures qu’elles introduisent elles-mêmes (art. 22 LPA). En cas de défaut de collaboration, la chambre administrative peut prononcer l’irrecevabilité de leurs conclusions (ATA/236/2011 du 12 avril 2011 et les références citées).</w:t>
      </w:r>
    </w:p>
    <w:p>
      <w:r>
        <w:t>En l’espèce, le recourant a demandé à deux reprises le report d’une audience de comparutions personnelles. Malgré les demandes faites par la chambre administrative, il n’a pas produit de justificatifs concernant les empêchements allégués.</w:t>
      </w:r>
    </w:p>
    <w:p>
      <w:r>
        <w:t>Il s’ensuit que le recourant n’a pas respecté le devoir de collaboration qui lui incombe, au sens de la disposition légale précitée. Il apparaît habitué à ce genre de comportement, relevé par l’hospice dans la décision sur opposition et par le Ministère public lorsqu’il a procédé au classement de la procédure pénale.</w:t>
      </w:r>
    </w:p>
    <w:p>
      <w:r>
        <w:t>Il n’y a pas lieu de s’écarter de la jurisprudence en la matière dès lors que, par son attitude, le recourant a empêché la chambre administrative d’établir les faits pertinents pour la solution du litige.</w:t>
      </w:r>
    </w:p>
    <w:p>
      <w:r>
        <w:rPr>
          <w:b/>
        </w:rPr>
        <w:t>E. 4</w:t>
      </w:r>
    </w:p>
    <w:p>
      <w:r>
        <w:t>Au vu de cette issue, un émolument de procédure de CHF 500.- sera mis à la charge du recourant (art. 87 LPA). * * * * *</w:t>
      </w:r>
    </w:p>
    <w:p>
      <w:r>
        <w:t>- 5/5 - A/2291/2008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