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ATA/344/2021 vom 23. März 2021</w:t>
      </w:r>
    </w:p>
    <w:p>
      <w:r>
        <w:t>GE Cour de justice, 2021-03-23, FR</w:t>
      </w:r>
    </w:p>
    <w:p>
      <w:r>
        <w:rPr>
          <w:b/>
        </w:rPr>
        <w:t xml:space="preserve">Quelle: </w:t>
      </w:r>
      <w:r>
        <w:t>https://mcp.opencaselaw.ch/entscheid/ge_gerichte_ATA_344_2021</w:t>
      </w:r>
    </w:p>
    <w:p>
      <w:r>
        <w:t>FR: GE_GERICHTE ATA/344/2021 du 23 mars 2021</w:t>
      </w:r>
    </w:p>
    <w:p>
      <w:r>
        <w:t>IT: GE_GERICHTE ATA/344/2021 del 23 marzo 2021</w:t>
      </w:r>
    </w:p>
    <w:p>
      <w:pPr>
        <w:pStyle w:val="Heading2"/>
      </w:pPr>
      <w:r>
        <w:t>Erwägungen</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dans sa teneur au moment du dépôt de la demande d'autorisation de séjour (août 2018) – étant précisé que le nouveau droit n'est pas plus favorable à l'intéressé –, prévoit que pour apprécier l'existence d'un cas individuel d'extrême gravité, il convient de tenir compte notamment de l'intégration de la personne requérante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1er novembre 2019, ch. 5.6.10 ; ATA/351/2019 du 2 avril 2019 consid. 6b).</w:t>
      </w:r>
    </w:p>
    <w:p>
      <w:r>
        <w:t>b. Les dispositions dérogatoires des art. 30 LEtr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w:t>
      </w:r>
    </w:p>
    <w:p>
      <w:r>
        <w:t>- 8/13 - A/225/2020 de rigueur (ATF 128 II 200 consid. 4 ; 124 II 110 consid. 2 ; ATA/92/2020 du 28 janvier 2020 consid. 4d).</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2A_718/2006 du 21 mars 2007 consid. 3).</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w:t>
      </w:r>
    </w:p>
    <w:p>
      <w:r>
        <w:t>La jurisprudence requiert, de manière générale, une très longue durée (Minh SON NGUYEN/Cesla AMARELLE, Code annoté de droit des migrations, LEtr, volume 2, 2017, p. 269 et les références citées). Par durée assez longue, la jurisprudence entend une période de sept à huit ans (arrêt du TAF C-7330/2010 du 19 mars 2012 ; Minh SON NGUYEN/Cesla AMARELLE, op. cit., p. 269).</w:t>
      </w:r>
    </w:p>
    <w:p>
      <w:r>
        <w:t>Bien que la durée du séjour en Suisse constitue un critère important lors de l'examen d'un cas d'extrême gravité, elle doit néanmoins être examinée à la</w:t>
      </w:r>
    </w:p>
    <w:p>
      <w:r>
        <w:t>- 9/13 - A/225/2020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8) a.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https://www.ge.ch/actualite/operation- papyrus-presentee-aux-medias-21-02-2017, consulté le 11 février 2021) :</w:t>
      </w:r>
    </w:p>
    <w:p>
      <w:r>
        <w:t>- avoir un emploi ;</w:t>
      </w:r>
    </w:p>
    <w:p>
      <w:r>
        <w:t>- être indépendant financièrement ;</w:t>
      </w:r>
    </w:p>
    <w:p>
      <w:r>
        <w:t>- ne pas avoir de dettes ;</w:t>
      </w:r>
    </w:p>
    <w:p>
      <w:r>
        <w:t>- avoir séjourné à Genève de manière continue sans papiers pendant cinq ans minimum (pour les familles avec enfants scolarisés) ou dix ans minimum pour les autres catégories, à savoir les couples sans enfants et les célibataires ; le séjour doit être documenté ;</w:t>
      </w:r>
    </w:p>
    <w:p>
      <w:r>
        <w:t>- faire preuve d'une intégration réussie (minimum niveau A2 de français du cadre européen commun de référence pour les langues et scolarisation des enfants notamment) ;</w:t>
      </w:r>
    </w:p>
    <w:p>
      <w:r>
        <w:t>- absence de condamnation pénale (autre que séjour illégal).</w:t>
      </w:r>
    </w:p>
    <w:p>
      <w:r>
        <w:t>b. Le projet pilote « Papyrus » a pris fin le 31 décembre 2018, date limite pour le dépôt des dossiers de régularisation auprès de l'OCPM. 9)</w:t>
      </w:r>
    </w:p>
    <w:p>
      <w:r>
        <w:t>En l'espèce, le recourant, qui a formulé sa demande d'autorisation de séjour le 31 août 2018, soit alors que l'opération Papyrus était encore en cours, est arrivé en Suisse au plus tôt en 2011 selon les pièces produites au TAPI. Aucune pièce ne vient prouver que le recourant ait déjà été en Suisse en 2009 et encore moins qu’il y serait resté entre 2011 et 2015, date de son premier emploi chez G______ Création et Construction selon sa demande AI. Il est plutôt vraisemblable que le recourant ait fait des allers-retours au Kosovo, d’autant plus que ses enfants sont nés en 2004, 2006, 2009 et 2014. Rien ne permet de remettre en cause l’appréciation faite par le TAPI sur la base des pièces produites, l’OCPM soutenant par ailleurs n’avoir reçu aucune réponse de la part du mandataire du recourant concernant l’envoi de pièces probantes. Dès lors, le recourant ne remplit pas à ce jour la condition de la durée minimale de séjour en Suisse de dix ans qui</w:t>
      </w:r>
    </w:p>
    <w:p>
      <w:r>
        <w:t>- 10/13 - A/225/2020 lui est applicable pour être admis à l’opération Papyrus. L’autorité intimée et l’instance précédente ont constaté cela à juste titre.</w:t>
      </w:r>
    </w:p>
    <w:p>
      <w:r>
        <w:t>Quant à l’examen de la situation personnelle du recourant, l’appréciation du TAPI selon laquelle on ne peut pas retenir un cas individuel d’extrême gravité au sens des art. 30 al. 1 let. b LEI et 31 OASA ne prête pas davantage le flanc à la critique. En effet, toute sa famille, soit son épouse et ses quatre enfants sont restés au Kosovo. Aucune pièce au dossier n’atteste d’une intégration réussie en Suisse.</w:t>
      </w:r>
    </w:p>
    <w:p>
      <w:r>
        <w:t>Par ailleurs, dans son recours devant la chambre de céans, le recourant ne remet pas en question ces faits, mais se limite à invoquer son accident professionnel survenu le 14 février 2019. Son état de santé est actuellement stabilisé, ce que la SUVA a confirmé implicitement en mettant fin aux prestations dès le 1er mars 2021. Dès lors, rien ne laisse présager qu’il ne pourra pas être pris en charge valablement dans son pays.</w:t>
      </w:r>
    </w:p>
    <w:p>
      <w:r>
        <w:t>Quant à une éventuelle rente AI, pour autant qu’il puisse y avoir droit, elle pourra lui être versée au Kosovo, sur la base de la convention de sécurité sociale liant la Suisse et la République du Kosovo conclue le 8 juin 2018, entrée en vigueur le 1er septembre 2019 (notamment art. 5).</w:t>
      </w:r>
    </w:p>
    <w:p>
      <w:r>
        <w:t>S’agissant de la réintégration dans son pays, cet aspect ne paraît pas poser problème, du moment où toute sa famille se trouve au Kosovo et que, pour autant que sa santé le lui permette, il pourra retrouver un travail selon ses qualifications sur la base des expériences faites en Suisse.</w:t>
      </w:r>
    </w:p>
    <w:p>
      <w:r>
        <w:t>Au vu de ce qui précède et au regard de l’ensemble des circonstances du cas d’espèce, le recourant ne se trouve pas dans une situation de détresse personnelle au sens de l’art. 30 al. 1 let. b LEtr, de sorte que l’autorité intimée était fondée à refuser de donner une suite positive à sa demande d’autorisation de séjour et l’instance précédente à confirmer ledit refus. Le grief sera par conséquent écarté. 10) a. Selon l'art. 64 al. 1 let. c LEtr, toute personne étrangère dont l'autorisation est refusée, révoquée ou qui n'est pas prolongée après un séjour autorisé est renvoyée. La décision de renvoi est assortie d'un délai de départ raisonnable (art. 64 let. d al. 1 LEtr).</w:t>
      </w:r>
    </w:p>
    <w:p>
      <w:r>
        <w:t>b. Le renvoi d'une personne étrangère ne peut être ordonné que si l'exécution de celui-ci est possible, licite ou peut être raisonnablement exigée (art. 83 al. 1 LEtr). L'exécution n'est pas possible lorsque la personne concernée ne peut quitter la Suisse pour son État d'origine, son État de provenance ou un État tiers ni être renvoyée dans un de ces États (art. 83 al. 2 LEtr). Elle n'est pas licite lorsqu'elle serait contraire aux engagements internationaux de la Suisse (art. 83 al. 3 LEtr). Elle n'est pas raisonnablement exigible si elle met</w:t>
      </w:r>
    </w:p>
    <w:p>
      <w:r>
        <w:t>- 11/13 - A/225/2020 concrètement en danger la personne étrangère, par exemple en cas de guerre, de guerre civile, de violence généralisée ou de nécessité médicale (art. 83 al. 4 LEtr).</w:t>
      </w:r>
    </w:p>
    <w:p>
      <w:r>
        <w:t>c. En l'espèce, le recourant n'allègue pas, et il ne ressort pas du dossier, que le renvoi serait impossible, illicite ou inexigible.</w:t>
      </w:r>
    </w:p>
    <w:p>
      <w:r>
        <w:t>C'est par conséquent à bon droit que l'autorité intimée a prononcé le renvoi du recourant et ordonné l'exécution de celui-ci. 11) Dans ces circonstances, la décision de l'autorité intimée est conforme au droit et le recours contre le jugement du TAPI, entièrement mal fondé, sera rejeté. 12) Vu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