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ATA/344/2009 vom 23. Juli 2009</w:t>
      </w:r>
    </w:p>
    <w:p>
      <w:r>
        <w:t>GE Cour de justice, 2009-07-23, FR</w:t>
      </w:r>
    </w:p>
    <w:p>
      <w:r>
        <w:rPr>
          <w:b/>
        </w:rPr>
        <w:t xml:space="preserve">Quelle: </w:t>
      </w:r>
      <w:r>
        <w:t>https://mcp.opencaselaw.ch/entscheid/ge_gerichte_ATA_344_2009</w:t>
      </w:r>
    </w:p>
    <w:p>
      <w:r>
        <w:t>FR: GE_GERICHTE ATA/344/2009 du 23 juillet 2009</w:t>
      </w:r>
    </w:p>
    <w:p>
      <w:r>
        <w:t>IT: GE_GERICHTE ATA/344/2009 del 23 luglio 2009</w:t>
      </w:r>
    </w:p>
    <w:p>
      <w:pPr>
        <w:pStyle w:val="Heading2"/>
      </w:pPr>
      <w:r>
        <w:t>Erwägungen</w:t>
      </w:r>
    </w:p>
    <w:p>
      <w:r>
        <w:rPr>
          <w:b/>
        </w:rPr>
        <w:t>E. 7</w:t>
      </w:r>
    </w:p>
    <w:p>
      <w:r>
        <w:t>La commune s'est déterminée le 15 juillet 2009 sur effet suspensif. La requête devait être rejetée car le formalisme découlant de la loi qui devait être appliquée aux procédures de passation de marchés publics ne pouvait que conduire à une décision d'exclusion, deux des membres du pool n'ayant pas produit d'attestation LPP, l'autorité adjudicatrice ne savant rien de la société Gartenmann Partner Holding A.G.</w:t>
      </w:r>
    </w:p>
    <w:p>
      <w:r>
        <w:t>A l’appui de ses observations, la commune a produit le dossier d'offre des recourantes avec ses annexes.</w:t>
      </w:r>
    </w:p>
    <w:p>
      <w:r>
        <w:t>Pour la société Itten+Brechbühl S.A., l'extrait du registre du commerce du canton de Vaud, annexé au dossier de soumission, révèle que cette société est une succursale de la société Itten+ Brechbühl A.G. sise à Berne. En outre plusieurs autres attestations établies tant pour Itten+ Brechbühl S.A. que pour Gartenmann Engeenering S.A. comportent l'adresse 4A Nordring à Berne ou celle de l'avenue d'Ouchy à Lausanne. Selon les informations qui peuvent facilement être obtenues sur des sites informatiques de renseignements commerciaux, Gartenmann Partner Holding A.G. est également sise 4A Nordring à Berne, et Gartenmann Engeenering A.G est sa filiale.</w:t>
      </w:r>
    </w:p>
    <w:p>
      <w:r>
        <w:rPr>
          <w:b/>
        </w:rPr>
        <w:t>E. 8</w:t>
      </w:r>
    </w:p>
    <w:p>
      <w:r>
        <w:t>Par acte de recours du 18 juillet 2009, les recourantes ont également interjeté recours contre la décision de la commune d'adjuger le marché à un pool d'entreprises tierces après qu'elle leur ait été communiquée par la commune (cause A/2368/2009). Considérant, en droit, que : 1.</w:t>
      </w:r>
    </w:p>
    <w:p>
      <w:r>
        <w:t>Interjeté en temps utile devant l’autorité compétente, le recours est, prima facie, recevable (art. 15 al. 2 AIMP ; art. 3 al. 1 et 2 let. 1 de la loi autorisant le Conseil d’Etat à adhérer à l’accord intercantonal sur les marchés publics du 12 juin 1997 (L - AIMP - L 6 05.0) art. 56 al. 1 RMP).</w:t>
      </w:r>
    </w:p>
    <w:p>
      <w:r>
        <w:t>- 6/8 - A/2368/2009 2.</w:t>
      </w:r>
    </w:p>
    <w:p>
      <w:r>
        <w:t>En tant que personnes exclues d'un marché public, les recourantes ont, prima facie, qualité pour recourir contre la décision d'adjudication (art. 15 al. 1bis let. d AIMP ; art. 55 al. 1 let. c RMP ; art. 60 let. b de la loi sur la procédure administrative du 12 septembre 1985 (LPA - E 5 10).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formulation s’inspirant de celle de l’art. 66 al. 2 de la LPA (ATA/858/2005 du 15 décembre 2005). 4.</w:t>
      </w:r>
    </w:p>
    <w:p>
      <w:r>
        <w:t>En matière de marchés publics, la restitution de l’effet suspensif en cas de recours constitue cependant une exception (ATA/247/2009 et les références citées) et représente par conséquent une mesure dont les conditions ne peuvent être admises qu'avec restrictions. 5.</w:t>
      </w:r>
    </w:p>
    <w:p>
      <w:r>
        <w:t>Le droit des marchés publics est formaliste, comme le tribunal de céans l'a déjà rappelé à réitérées reprises (ATA/10/2009 du 13 janvier 2009 ; ATA/95/2008 du 4 mars 2008 ; ATA/79/2008 du 19 février 2008 ; ATA/250/2006 du 9 mai 2006 ; ATA/150/2006 du 14 mars 2006 ; ATA/663/2005). La procédure se doit en effet d’être rigoureuse afin d’assurer l’égalité de traitement et la transparence entre les candidats potentiels. Les soumissionnaires sont tenus de se conformer strictement à ces conditions et ces exigences ne sont pas des règles formelles, exemptes de toute finalité dont le respect serait une fin en soi ; ATA/663/2005 du</w:t>
      </w:r>
    </w:p>
    <w:p>
      <w:r>
        <w:rPr>
          <w:b/>
        </w:rPr>
        <w:t>E. 11</w:t>
      </w:r>
    </w:p>
    <w:p>
      <w:r>
        <w:t>octobre 2005 ; ATA/90/2000 du 8 février 2000).</w:t>
      </w:r>
    </w:p>
    <w:p>
      <w:r>
        <w:t>Dans l'arrêt précité du 14 mars 2006, le tribunal de céans a en particulier confirmé une décision écartant une offre dont la validité des attestations était échue depuis quelques jours. 6.</w:t>
      </w:r>
    </w:p>
    <w:p>
      <w:r>
        <w:t>De l’art. 29 al. 1 de la constitution fédérale de la Confédération suisse du 18 avril 1999 (Cst-CH - RS 101), et de l’obligation d’agir de bonne foi à l’égard des justiciables (art. 5 et 9 Cst), la jurisprudence a tiré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 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et disproportionnée, telle par exemple</w:t>
      </w:r>
    </w:p>
    <w:p>
      <w:r>
        <w:t>- 7/8 - A/2368/2009 une décision d’irrecevabilité (ATA/473/2004 du 25 mai 2004 consid. 3 ; ATA/561/2003 du 23 juillet 2003 consid. 6 ; P. MOOR, Droit administratif, vol. 2, 2e éd., Berne 2002 , p. 230 ss n. 2.2.4.6 et les références citées). Ainsi, en matière de marchés publics, le respect strict des règles de procédure posées par la loi ou définies par l'autorité adjudicatrice, n'autorise pas cette dernière à faire preuve de formalisme excessif.</w:t>
      </w:r>
    </w:p>
    <w:p>
      <w:r>
        <w:t>En l'espèce, l'autorité adjudicatrice n'a pas pris sa décision après constat que des pièces requises par les conditions d'appel d'offres et d'adjudication faisaient défaut, mais que certaines pièces produites étaient insuffisantes à prouver l'information qu'elle demandait : l'attestation de l'assurance annonçait une confirmation d'affiliation et de paiement pour les deux sociétés membres du pool de soumissionnaires mais elle indiquait par la suite que c'était une tierce entreprise qui était assurée. Si elle a considéré que cette imprécision lui donnait le droit d'exclure les intimées, il y a lieu, prima facie, d'être plus nuancé. Dans une telle situation, malgré le formalisme requis par le droit des marchés publics, il n'est pas insoutenable d'admettre que l'intimée aurait dû, avant de décider d'exclure, interpeller la responsable du pool pour qu'elle explique la raison de la mention de cette tierce société sur les attestations en question. Une telle démarche était d’autant plus aisée que l'étude des pièces produites et de simples recherches complémentaires sur internet mettaient en évidence que les sociétés qui utilisaient les mêmes adresses à Lausanne et à Berne étaient susceptibles de faire partie d'un même groupe avec une assurance unique pour toutes les sociétés de celui-ci. 7.</w:t>
      </w:r>
    </w:p>
    <w:p>
      <w:r>
        <w:t>Dans ces circonstances, la décision d'exclure les recourantes est, prima facie, susceptible de relever d'un formalisme excessif prohibé, qui pourrait conduire à l'admission du recours. Comme aucun intérêt public ou privé prépondérant ne s'y opposant, l'effet suspensif sera restitué. LA PRÉSIDENTE DU TRIBUNAL ADMINISTRATIF restitue l’effet suspensif au recours ; réserve le sort des frais de la procédure jusqu’à droit jugé au fond ; dit que, conformément aux art. 82 et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- 8/8 - A/2368/2009 communique la présente décision, en copie, à Me Denis Esseiva, avocat des recourantes ainsi qu'à Me Bertrand Reich, avocat de la commune du Grand-Saconnex.</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